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sz w:val="17"/>
          <w:szCs w:val="17"/>
        </w:rPr>
      </w:pPr>
      <w:bookmarkStart w:colFirst="0" w:colLast="0" w:name="_m8brm1b2oyt4" w:id="0"/>
      <w:bookmarkEnd w:id="0"/>
      <w:r w:rsidDel="00000000" w:rsidR="00000000" w:rsidRPr="00000000">
        <w:rPr>
          <w:b w:val="1"/>
          <w:bCs w:val="1"/>
          <w:color w:val="1b1b1b"/>
          <w:sz w:val="90"/>
          <w:szCs w:val="90"/>
          <w:rtl w:val="0"/>
        </w:rPr>
        <w:t xml:space="preserve">Standard Life launches brand awareness campaign as Phoenix Group switches name</w:t>
      </w:r>
      <w:r w:rsidDel="00000000" w:rsidR="00000000" w:rsidRPr="00000000">
        <w:rPr>
          <w:rtl w:val="0"/>
        </w:rPr>
      </w:r>
    </w:p>
    <w:p w:rsidR="00000000" w:rsidDel="00000000" w:rsidP="00000000" w:rsidRDefault="00000000" w:rsidRPr="00000000" w14:paraId="00000002">
      <w:pPr>
        <w:spacing w:after="280" w:before="280" w:lineRule="auto"/>
        <w:rPr>
          <w:color w:val="1b1b1b"/>
          <w:sz w:val="27"/>
          <w:szCs w:val="27"/>
        </w:rPr>
      </w:pPr>
      <w:hyperlink r:id="rId6">
        <w:r w:rsidDel="00000000" w:rsidR="00000000" w:rsidRPr="00000000">
          <w:rPr>
            <w:color w:val="416ed2"/>
            <w:sz w:val="27"/>
            <w:szCs w:val="27"/>
            <w:rtl w:val="0"/>
          </w:rPr>
          <w:t xml:space="preserve">Standard Life</w:t>
        </w:r>
      </w:hyperlink>
      <w:r w:rsidDel="00000000" w:rsidR="00000000" w:rsidRPr="00000000">
        <w:rPr>
          <w:color w:val="1b1b1b"/>
          <w:sz w:val="27"/>
          <w:szCs w:val="27"/>
          <w:rtl w:val="0"/>
        </w:rPr>
        <w:t xml:space="preserve"> has launched a campaign to strengthen its brand as Phoenix Group Holdings completes its name change to Standard Life.</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campaign, ‘For the life we live’, will run for 10 weeks across TV, radio, newsprint, digital, and social media and will aim to increase brand awareness.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It will also contribute to Standard Life achieving its new target of helping three million more customers over the next 10 years to take action towards a better retirement.</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Standard Life CEO, Andy Briggs, said: “For more than 200 years, Standard Life has stood beside its customers, helping them plan and prepare for their long-term financial futures. </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“Today, as Standard Life plc, we are proud to manage £300bn in assets on behalf of 12 million customers.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“Our purpose is helping people secure a life of possibilities, and I am proud to announce our new target, which embodies our belief that everyone’s journey to and through retirement can be better.”</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launch of the campaign coincides with the retirement specialist officially changing its name from Phoenix Group to Standard Life.</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As a result, the specialist will be listed on the London Stock Exchange under the ticker of SDLF from today (March 2nd).</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Article continues after advert</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change recognises the progress made in recent years by Phoenix Group to simplify the business.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Customer brands within the group, including SunLife, Phoenix Life, and ReAssure, will continue to invest in customer service and operate as normal.</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move to Standard Life supports our vision to be the UK’s leading retirement savings and income business, and demonstrates our commitment to helping customers achieve better outcomes and greater financial security in later life,” Briggs added.</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“We want Standard Life to be the business that people trust to guide their retirement journey.”</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adviser.com/the-standard-life-assurance-compa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