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4u32ztujbyic" w:id="0"/>
      <w:bookmarkEnd w:id="0"/>
      <w:r w:rsidDel="00000000" w:rsidR="00000000" w:rsidRPr="00000000">
        <w:rPr>
          <w:b w:val="1"/>
          <w:bCs w:val="1"/>
          <w:color w:val="1b1b1b"/>
          <w:sz w:val="90"/>
          <w:szCs w:val="90"/>
          <w:rtl w:val="0"/>
        </w:rPr>
        <w:t xml:space="preserve">Standard Life buys Aegon UK for £2bn</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m01gjm7xtex3" w:id="1"/>
      <w:bookmarkEnd w:id="1"/>
      <w:r w:rsidDel="00000000" w:rsidR="00000000" w:rsidRPr="00000000">
        <w:rPr>
          <w:sz w:val="50"/>
          <w:szCs w:val="50"/>
          <w:rtl w:val="0"/>
        </w:rPr>
        <w:t xml:space="preserve">The deal will create a £480bn provider with 16 million customers.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Standard Life has bought Aegon’s UK business in a £2bn deal, the insurer announced this morning.</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deal will create a £480bn provider with 16 million customers.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One source said the other bidder for the business was Lloyds which offered a higher cash price, but Standard Life in the end was preferred for a cash / equity deal.</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Following the deal, which brings across £180bn of assets, Standard Life will seek to expand its advice presence, with Aegon owning advice business Origen Financial Services, alongside two adviser platforms: The Aegon Platform (formerly Cofunds) and Aegon Retirement Choices.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acquisition is part cash (£750m) and part shares, with Aegon’s Dutch parent company being given 181 million shares in Standard Life, meaning it will become a 15.3% shareholding in the provider. Aegon will be able to nominate an executive to the Standard Life board.</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Aberdeen also still holds a minority stake in Standard Life and the group said Aberdeen is ‘supportive’ of the strategy and remains a committed shareholder.</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Aegon, which has its own international fund management arm, Aegon Asset Management, will also become an ‘asset management partner’ for Standard Life following the deal. Aegon Asset Management is not included in the UK sale.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Speaking to analysts, Standard Life CEO Andy Briggs said Aegon Asset Management has an agreement to continue to run the £20bn of assets which it currently does for the Aegon UK book following the takeover.</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Standard Life said there was an opportunity for £800m in synergies between the two groups, ‘underpinned by Standard Life’s experience in large and complex life insurance integrations’.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Aegon uses Atos to administer many of its policies, which includes many closed book divisions, and Standard Life uses Diligenta for the administration of much of its back book. In the past Standard Life, which recently changed its name from Phoenix, moved pension books onto Diligenta’s administration platform following takeovers of other life companies to strip out costs.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Aegon has a large workplace pension business, with £74bn of assets and Standard Life said the deal will see it become the second-largest player in the workplace pension market.</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At the bell Standard Life’s shares were up 1.7%.</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Briggs, said: ‘Our agreement to acquire Aegon UK significantly accelerates our vision to be the UK’s leading retirement savings and income business.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‘We will be in an even stronger position to meet the evolving needs of our 16 million customers with enhanced digital, advice and distribution capabilities across workplace and retail, strengthening our standing in one of the world’s most attractive markets.’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Briggs added the deal also ‘transforms our adviser offering’, which it was already building out. As well as its independent arm Origen, Aegon also acquired Nationwide’s financial planning business in 2023, which included 200 restricted financial planners.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