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w7jcxrbr0xtb" w:id="0"/>
      <w:bookmarkEnd w:id="0"/>
      <w:r w:rsidDel="00000000" w:rsidR="00000000" w:rsidRPr="00000000">
        <w:rPr>
          <w:b w:val="1"/>
          <w:bCs w:val="1"/>
          <w:color w:val="1b1b1b"/>
          <w:sz w:val="90"/>
          <w:szCs w:val="90"/>
          <w:rtl w:val="0"/>
        </w:rPr>
        <w:t xml:space="preserve">Standard Life buys Aegon's UK business for £2bn</w:t>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Standard Life has agreed to buy the UK arm of Dutch insurer Aegon for £2billion, in a further bid to grow its share of the pensions market. </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w:t>
      </w:r>
      <w:hyperlink r:id="rId6">
        <w:r w:rsidDel="00000000" w:rsidR="00000000" w:rsidRPr="00000000">
          <w:rPr>
            <w:color w:val="416ed2"/>
            <w:sz w:val="27"/>
            <w:szCs w:val="27"/>
            <w:rtl w:val="0"/>
          </w:rPr>
          <w:t xml:space="preserve">FTSE 100</w:t>
        </w:r>
      </w:hyperlink>
      <w:r w:rsidDel="00000000" w:rsidR="00000000" w:rsidRPr="00000000">
        <w:rPr>
          <w:color w:val="1b1b1b"/>
          <w:sz w:val="27"/>
          <w:szCs w:val="27"/>
          <w:rtl w:val="0"/>
        </w:rPr>
        <w:t xml:space="preserve"> firm, formerly Phoenix Group, said the cash-and-share deal will create the country's largest pensions group, with 16 million customers and £480billion of assets under administration. </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deal will see Standard Life pay £750million in cash and issue 181.1million new shares to Aegon, meaning the Dutch insurer will hold a 15.3 per cent stake in the group.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Aegon announced in December that it was weighing a sale of its UK insurance business, which has more than 3.5 million customers, as part of its push into the US.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As part of the move, Aegon will relocate its headquarters to the US and rename itself Transamerica Inc.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Standard Life has come out on top in the battle for Aegon UK, after the Dutch insurer reportedly attracted interest from the Royal Bank of Canada, Lloyds and Royal London.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It is the latest sign of increased competition among pension providers looking to boost their customer bases and expand their offerings.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Chief executive Andy Briggs said: 'Our agreement to acquire Aegon UK significantly accelerates our vision to be the UK's leading retirement savings and income business. We will be in an even stronger position to meet the evolving needs of our 16 million customers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'Together, we will not only be stronger, we will be better - helping our customers achieve better outcomes and greater financial security in later life.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 look forward to welcoming everyone at Aegon UK to Standard Life in due course and working together to capture the huge potential in front of us.'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Shares in Standard Life rose 1.4 per cent to 723.8p.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Susannah Streeter, chief investment strategist at Wealth Club said: 'The UK has an ageing population and big pension adequacy gap, with more than half of current savers expected to struggle financially unless they up contributions, which offers big opportunities ahead for Standard Life.' </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vesting.thisismoney.co.uk/quote/UK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