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a6ump04j25kz" w:id="0"/>
      <w:bookmarkEnd w:id="0"/>
      <w:r w:rsidDel="00000000" w:rsidR="00000000" w:rsidRPr="00000000">
        <w:rPr>
          <w:b w:val="1"/>
          <w:bCs w:val="1"/>
          <w:color w:val="1b1b1b"/>
          <w:sz w:val="90"/>
          <w:szCs w:val="90"/>
          <w:rtl w:val="0"/>
        </w:rPr>
        <w:t xml:space="preserve">Standard Life buys Aegon UK for £2bn</w:t>
      </w:r>
    </w:p>
    <w:p w:rsidR="00000000" w:rsidDel="00000000" w:rsidP="00000000" w:rsidRDefault="00000000" w:rsidRPr="00000000" w14:paraId="00000002">
      <w:pPr>
        <w:pStyle w:val="Heading2"/>
        <w:keepNext w:val="0"/>
        <w:keepLines w:val="0"/>
        <w:spacing w:after="80" w:before="0" w:line="305.46" w:lineRule="auto"/>
        <w:rPr>
          <w:sz w:val="17"/>
          <w:szCs w:val="17"/>
        </w:rPr>
      </w:pPr>
      <w:bookmarkStart w:colFirst="0" w:colLast="0" w:name="_9hombfo023fy" w:id="1"/>
      <w:bookmarkEnd w:id="1"/>
      <w:r w:rsidDel="00000000" w:rsidR="00000000" w:rsidRPr="00000000">
        <w:rPr>
          <w:sz w:val="50"/>
          <w:szCs w:val="50"/>
          <w:rtl w:val="0"/>
        </w:rPr>
        <w:t xml:space="preserve">Deal comes as large insurers and asset managers compete more aggressively for UK pension assets</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Standard Life has struck a deal to buy the UK arm of Dutch insurer Aegon for £2bn, as companies step up their race for British retirement assets.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Netherlands-based </w:t>
      </w:r>
      <w:hyperlink r:id="rId6">
        <w:r w:rsidDel="00000000" w:rsidR="00000000" w:rsidRPr="00000000">
          <w:rPr>
            <w:color w:val="416ed2"/>
            <w:sz w:val="27"/>
            <w:szCs w:val="27"/>
            <w:rtl w:val="0"/>
          </w:rPr>
          <w:t xml:space="preserve">Aegon</w:t>
        </w:r>
      </w:hyperlink>
      <w:r w:rsidDel="00000000" w:rsidR="00000000" w:rsidRPr="00000000">
        <w:rPr>
          <w:color w:val="1b1b1b"/>
          <w:sz w:val="27"/>
          <w:szCs w:val="27"/>
          <w:rtl w:val="0"/>
        </w:rPr>
        <w:t xml:space="preserve"> said in December that it would consider putting its UK insurance business up for sale as part of a pivot to the US life insurance market, where Aegon also said it would move its head office.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Scottish Widows, Royal London and private equity firm CVC had also shown interest in the sale of Aegon UK, the FT previously reported.</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Standard Life’s £2bn bid was far above that of runner-up Lloyds Banking Group, which made a final offer of £1.4bn, according to people familiar with the matter.</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transaction will be funded through a combination of cash, debt and shares in Standard Life — the recently rebranded Phoenix Group. Aegon would become a shareholder and asset management partner to Standard Life, the companies said.</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Aegon UK had more than 4mn customers as of 2023, according to its website, and oversaw more than £124bn in assets as of last year. It offers pensions and investment services.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deal comes as large insurers and asset managers compete more aggressively for UK pension assets. Apollo-backed insurer Athora and the insurance arm of Brookfield, the Canadian alternative assets giant, both announced deals last year to take over specialists in pension risk transfers, in which companies pay insurers to take on their financial obligations to retirees.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£2bn price “looks very good”, said KBW analyst Michele Ballatore in a note, adding that the business had been sold at a value of about 14 times expected earnings. KBW had valued it at about £1.4bn, or about eight times earnings.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Ballatore said the deal was a “positive development” for the wider Aegon business, which would use the cash to reduce debt and buy back shares.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deal comes as Standard Life separately holds talks with US private capital firms about an investment in its pension risk-transfer business that would help increase its share of that market in the UK.</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BlackRock, Blackstone, Sixth Street, KKR and the asset management arm of Goldman Sachs had all at some point been involved in talks, the FT </w:t>
      </w:r>
      <w:hyperlink r:id="rId7">
        <w:r w:rsidDel="00000000" w:rsidR="00000000" w:rsidRPr="00000000">
          <w:rPr>
            <w:color w:val="416ed2"/>
            <w:sz w:val="27"/>
            <w:szCs w:val="27"/>
            <w:rtl w:val="0"/>
          </w:rPr>
          <w:t xml:space="preserve">previously reported</w:t>
        </w:r>
      </w:hyperlink>
      <w:r w:rsidDel="00000000" w:rsidR="00000000" w:rsidRPr="00000000">
        <w:rPr>
          <w:color w:val="1b1b1b"/>
          <w:sz w:val="27"/>
          <w:szCs w:val="27"/>
          <w:rtl w:val="0"/>
        </w:rPr>
        <w:t xml:space="preserve">.</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Standard Life chief executive Andy Briggs said the deal would help achieve its goal of becoming the UK’s leading retirement savings and income business.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transaction accelerates our shift to capital-light whilst strengthening our cash, capital and earnings position to create increased value for shareholders,” he added.</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stream/083f9e07-7929-40bd-861b-cf80eefd6ecf" TargetMode="External"/><Relationship Id="rId7" Type="http://schemas.openxmlformats.org/officeDocument/2006/relationships/hyperlink" Target="https://www.ft.com/content/db146adf-7d29-45fc-89d5-d15df208fa67?syn-25a6b1a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