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line="300" w:lineRule="auto"/>
        <w:rPr>
          <w:b w:val="1"/>
          <w:bCs w:val="1"/>
          <w:color w:val="101828"/>
          <w:sz w:val="48"/>
          <w:szCs w:val="48"/>
        </w:rPr>
      </w:pPr>
      <w:bookmarkStart w:colFirst="0" w:colLast="0" w:name="_4hfaaz3mq11n" w:id="0"/>
      <w:bookmarkEnd w:id="0"/>
      <w:r w:rsidDel="00000000" w:rsidR="00000000" w:rsidRPr="00000000">
        <w:rPr>
          <w:b w:val="1"/>
          <w:bCs w:val="1"/>
          <w:color w:val="101828"/>
          <w:sz w:val="48"/>
          <w:szCs w:val="48"/>
          <w:rtl w:val="0"/>
        </w:rPr>
        <w:t xml:space="preserve">Standard Life to buy Aegon UK for £2bn</w:t>
      </w:r>
    </w:p>
    <w:p w:rsidR="00000000" w:rsidDel="00000000" w:rsidP="00000000" w:rsidRDefault="00000000" w:rsidRPr="00000000" w14:paraId="00000002">
      <w:pPr>
        <w:spacing w:after="300" w:lineRule="auto"/>
        <w:rPr>
          <w:color w:val="47546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>
          <w:color w:val="475467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75467"/>
          <w:sz w:val="26"/>
          <w:szCs w:val="26"/>
          <w:rtl w:val="0"/>
        </w:rPr>
        <w:t xml:space="preserve">Standard Life plc has entered into a binding agreement to acquire Aegon UK plc for a total consideration of £2bn, a move designed to accelerate the group’s vision of becoming the “UK’s leading retirement savings and income business”.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The transaction will be financed through a combination of £750m in cash — supported by £650m in new debt — and the issuance of 181.1 million new ordinary shares to Aegon.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Upon completion, which is anticipated for the end of 2026, Aegon will hold a 15.3% strategic stake in the enlarged group and will be entitled to appoint a non-executive director to the board.</w:t>
      </w:r>
    </w:p>
    <w:p w:rsidR="00000000" w:rsidDel="00000000" w:rsidP="00000000" w:rsidRDefault="00000000" w:rsidRPr="00000000" w14:paraId="00000006">
      <w:pPr>
        <w:spacing w:after="820" w:before="360" w:line="384.00000000000006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fldChar w:fldCharType="begin"/>
        <w:instrText xml:space="preserve"> HYPERLINK "https://www.moneymarketing.co.uk/podcast/the-advice-shift-episode-2-why-complex-formulas-fail-clients/" </w:instrText>
        <w:fldChar w:fldCharType="separate"/>
      </w: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The Advice Shift | Episode 2: Why Complex Formulas Fail Clients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color w:val="475467"/>
          <w:sz w:val="26"/>
          <w:szCs w:val="26"/>
          <w:rtl w:val="0"/>
        </w:rPr>
        <w:t xml:space="preserve">The deal is expected to create a market leader with approximately £480bn in assets under administration and 16 million customers.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From a market perspective, the acquisition elevates Standard Life to the position of the UK’s second-largest workplace pensions platform and transforms it from a smaller player into the second-largest retail pensions and savings platform by assets.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Financially, the group is targeting £110m in annual recurring pre-tax cost synergies by 2031 and expects an increase in operating cash generation of £160m per annum.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The deal is also projected to deliver £400m of additional excess cash over the five years following completion, which the company says will increase “future flexibility to invest or return capital”.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As the integration proceeds, the group will operate under a transitional services agreement to ensure continuity for Aegon UK’s existing systems and branding.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