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tkwnh3oaduhp" w:id="0"/>
      <w:bookmarkEnd w:id="0"/>
      <w:r w:rsidDel="00000000" w:rsidR="00000000" w:rsidRPr="00000000">
        <w:rPr>
          <w:b w:val="1"/>
          <w:bCs w:val="1"/>
          <w:color w:val="1b1b1b"/>
          <w:sz w:val="90"/>
          <w:szCs w:val="90"/>
          <w:rtl w:val="0"/>
        </w:rPr>
        <w:t xml:space="preserve">Standard Life’s deal with Aegon makes it a giant in UK pensions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88ujmufn2k5o" w:id="1"/>
      <w:bookmarkEnd w:id="1"/>
      <w:r w:rsidDel="00000000" w:rsidR="00000000" w:rsidRPr="00000000">
        <w:rPr>
          <w:sz w:val="50"/>
          <w:szCs w:val="50"/>
          <w:rtl w:val="0"/>
        </w:rPr>
        <w:t xml:space="preserve">The £2 billion acquisition dramatically increases the firm’s presence in retail pensions and savings, as well as workplace schemes</w:t>
      </w:r>
    </w:p>
    <w:p w:rsidR="00000000" w:rsidDel="00000000" w:rsidP="00000000" w:rsidRDefault="00000000" w:rsidRPr="00000000" w14:paraId="00000003">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With the £2 billion acquisition of Aegon UK, Standard Life is doubling down on the demographic sweet spot of the millions of fifty-somethings in Britain who have started to accumulate significant amounts of retirement wealth but desperately need help to manage it.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Andy Briggs, Standard Life chief executive, said the aim was to better serve the 50-plus age group, who had already accumulated an average of four different pension pots in addition to their state pension entitlement.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deal dramatically increases Standard Life’s presence in UK retail pensions and savings where for now it is a small player. Taking on Aegon’s large platform for financial advisers increases its retail customer base by 1.8 million and brings in additional assets of £86 million.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That will catapult it into the number two position, behind St James’s Place, but ahead of Aberdeen, according to industry estimates.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acquisition also enlarges its presence in workplace pensions — the business of handling staff pensions for employers large and small. That roughly doubles its presence in the market, bringing in 2.1 million customers and client assets of £71 billion.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That puts it in second place behind Aviva, but ahead of Legal &amp; General and Lloyds-owned Scottish Widows.</w:t>
      </w:r>
    </w:p>
    <w:p w:rsidR="00000000" w:rsidDel="00000000" w:rsidP="00000000" w:rsidRDefault="00000000" w:rsidRPr="00000000" w14:paraId="0000000B">
      <w:pPr>
        <w:spacing w:after="280" w:before="280" w:lineRule="auto"/>
        <w:rPr>
          <w:b w:val="1"/>
          <w:bCs w:val="1"/>
          <w:color w:val="416ed2"/>
          <w:sz w:val="27"/>
          <w:szCs w:val="27"/>
        </w:rPr>
      </w:pPr>
      <w:r w:rsidDel="00000000" w:rsidR="00000000" w:rsidRPr="00000000">
        <w:rPr>
          <w:color w:val="1b1b1b"/>
          <w:sz w:val="27"/>
          <w:szCs w:val="27"/>
          <w:rtl w:val="0"/>
        </w:rPr>
        <w:t xml:space="preserve">Briggs said the workplace deal would also help Standard Life build relations with younger savers who could then be offered other services as they aged.</w:t>
      </w:r>
      <w:r w:rsidDel="00000000" w:rsidR="00000000" w:rsidRPr="00000000">
        <w:rPr>
          <w:rtl w:val="0"/>
        </w:rPr>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Existing Standard Life insurance policyholders would benefit from a broader range of products and would share in some of the benefits of the deal through lower charges, he said.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is a major deal for Standard Life, </w:t>
      </w:r>
      <w:hyperlink r:id="rId6">
        <w:r w:rsidDel="00000000" w:rsidR="00000000" w:rsidRPr="00000000">
          <w:rPr>
            <w:color w:val="416ed2"/>
            <w:sz w:val="27"/>
            <w:szCs w:val="27"/>
            <w:rtl w:val="0"/>
          </w:rPr>
          <w:t xml:space="preserve">formerly Phoenix Group</w:t>
        </w:r>
      </w:hyperlink>
      <w:r w:rsidDel="00000000" w:rsidR="00000000" w:rsidRPr="00000000">
        <w:rPr>
          <w:color w:val="1b1b1b"/>
          <w:sz w:val="27"/>
          <w:szCs w:val="27"/>
          <w:rtl w:val="0"/>
        </w:rPr>
        <w:t xml:space="preserve">, a FTSE 100 company which was originally conceived as a consolidator of closed with-profits life insurance funds, sometimes known as zombie funds, but has expanded into defined-contribution pension schemes and buyouts of company pension schemes. Last month it changed its name to its best known brand Standard Life, which it bought from Aberdeen Standard Life.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It represents a partial departure from the UK for the Dutch insurer Aegon, which first moved into Britain in 1993 by buying a large stake in Scottish Equitable.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Aegon is taking the sale proceeds in £750 million of cash plus newly issued Standard Life shares, which will give it a 15.3 per cent stake in the enlarged Standard Life as well as a seat on the board. The share issue will dilute Standard Life’s other big shareholders, with the Japanese insurer MS&amp;AD’s stake reduced from 14 per cent to 12 per cent, and Aberdeen’s holding reduced from 10.5 per cent to 9 per cent.</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Briggs said the chance to carry on owning shares in the enlarged Standard Life business was one of the reasons it was chosen by Aegon.</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“There will be some job losses,” he said, but added that no decisions had been made on where the axe would fall. Standard Life employs 5,000 people while Aegon UK has about 2,700. Most of the pain is likely to be felt in Edinburgh where both companies have their biggest operations.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Standard Life has forecast cost savings from the deal of £110 million, which compares with a combined cost base across the two firms of £1.4 billion.</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combination will also produce capital benefits, Briggs said, releasing a one-off £340 million. Operating profits generated by the capital-light part of Standard Life would grow from 47 per cent of the total to 57 per cent, he said.</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deal significantly accelerates our vision to be the UK’s leading retirement savings and income business. We will be in an even stronger position to meet the evolving needs of our 16 million customers with enhanced digital, advice and distribution capabilities.”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He said he was reassured by the initial stock market reaction, with Standard Life’s share price closing up 15¼p, or 2.1 per cent, at 729p.</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Nasib Ahmed, an analyst with UBS, said: “The strategic and financial rationale makes sense to us.”</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Aegon’s chief executive, Lard Friese, said the two businesses were complementary and the shares component of the deal “will provide an opportunity to participate in the future success of the enlarged group”.</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Standard Life is raising £650 million of the cash portion of the deal through new debt. It said it was still planning to offer pension risk transfer deals to sponsors of defined benefit pension schemes and its commitment to allocating £200 million of capital per year to underwrite annuities was unchanged.</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The new Aegon shareholding in Standard Life is subject to a lock-up arrangement, preventing it from selling any of the shares until 18 months after completion or the redomiciling of Aegon to the United States, expected on January 1 2028, whichever is the sooner. The deal still requires approval from financial and monopolies regulators.</w:t>
      </w:r>
    </w:p>
    <w:p w:rsidR="00000000" w:rsidDel="00000000" w:rsidP="00000000" w:rsidRDefault="00000000" w:rsidRPr="00000000" w14:paraId="0000001A">
      <w:pPr>
        <w:pStyle w:val="Heading2"/>
        <w:keepNext w:val="0"/>
        <w:keepLines w:val="0"/>
        <w:spacing w:after="80" w:lineRule="auto"/>
        <w:rPr>
          <w:b w:val="1"/>
          <w:bCs w:val="1"/>
          <w:color w:val="1b1b1b"/>
          <w:sz w:val="49"/>
          <w:szCs w:val="49"/>
        </w:rPr>
      </w:pPr>
      <w:bookmarkStart w:colFirst="0" w:colLast="0" w:name="_6wvoe4ckrvbh" w:id="2"/>
      <w:bookmarkEnd w:id="2"/>
      <w:r w:rsidDel="00000000" w:rsidR="00000000" w:rsidRPr="00000000">
        <w:rPr>
          <w:b w:val="1"/>
          <w:bCs w:val="1"/>
          <w:color w:val="1b1b1b"/>
          <w:sz w:val="49"/>
          <w:szCs w:val="49"/>
          <w:rtl w:val="0"/>
        </w:rPr>
        <w:t xml:space="preserve">The combined company must help to drive up standards</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When the deal completes, Standard Life will become an even more important cog in the machinery delivering retirement incomes to the nation. It’s a great potential prize but also a heavy responsibility.</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The days when private sector workers could rely on their employer for a well-managed and guaranteed defined benefit pension are well and truly over. The shift to defined contribution pension saving — with no guarantees — is in full swing.</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Around £85 billion per year is now being channelled into workplace-based and private pension pots. Standard Life wants a bigger slice of this pie, throwing down the gauntlet to the likes of Aviva and Legal &amp; General.</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With its familiar brand name and gigantic scale, there is no reason why it cannot do well here. This is a space where confused consumers are desperate for reassurance and a name they can trust.</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Andy Briggs, the chief executive, also claims that some of the cost-saving benefits of the combination will be handed to customers in the form of lower charges.</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But the sheer complexity of the pensions rules, never mind the unpredictability of investment returns, never mind </w:t>
      </w:r>
      <w:hyperlink r:id="rId7">
        <w:r w:rsidDel="00000000" w:rsidR="00000000" w:rsidRPr="00000000">
          <w:rPr>
            <w:color w:val="416ed2"/>
            <w:sz w:val="27"/>
            <w:szCs w:val="27"/>
            <w:rtl w:val="0"/>
          </w:rPr>
          <w:t xml:space="preserve">this government’s attacks</w:t>
        </w:r>
      </w:hyperlink>
      <w:r w:rsidDel="00000000" w:rsidR="00000000" w:rsidRPr="00000000">
        <w:rPr>
          <w:color w:val="1b1b1b"/>
          <w:sz w:val="27"/>
          <w:szCs w:val="27"/>
          <w:rtl w:val="0"/>
        </w:rPr>
        <w:t xml:space="preserve"> on tax relief </w:t>
      </w:r>
      <w:hyperlink r:id="rId8">
        <w:r w:rsidDel="00000000" w:rsidR="00000000" w:rsidRPr="00000000">
          <w:rPr>
            <w:color w:val="416ed2"/>
            <w:sz w:val="27"/>
            <w:szCs w:val="27"/>
            <w:rtl w:val="0"/>
          </w:rPr>
          <w:t xml:space="preserve">and its interference in asset choice</w:t>
        </w:r>
      </w:hyperlink>
      <w:r w:rsidDel="00000000" w:rsidR="00000000" w:rsidRPr="00000000">
        <w:rPr>
          <w:color w:val="1b1b1b"/>
          <w:sz w:val="27"/>
          <w:szCs w:val="27"/>
          <w:rtl w:val="0"/>
        </w:rPr>
        <w:t xml:space="preserve">, make this difficult territory.</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It’s imperative that the company focuses on the experience of its pension savers as it pushes through what will inevitably be a disruptive merger. </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One of the biggest threats to public confidence in  pensions is the proliferation of pots and in some cases the terrible levels of communication and administration by the pensions industry.</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Only too happy to take the money over 40 years or more, providers can be shockingly reluctant to pay it out again in the form of transfers out or annuity payments. The customers can be seen as an inconvenience and afterthought</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It is known as “sludge tactics” — the impediments put in the way consumers having the temerity to ask for their money or just for understandable information. Some Standard Life brands score well here, according to an analysis by PensionBee; others do not.</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The group needs to be a force for good in improving standards across the sector.</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companies-markets/article/phoenix-to-bring-standard-life-back-from-the-ashes-90z2lbn0m" TargetMode="External"/><Relationship Id="rId7" Type="http://schemas.openxmlformats.org/officeDocument/2006/relationships/hyperlink" Target="https://www.thetimes.com/money/pensions/article/rachel-reeves-tax-raid-salary-sacrifice-m9mslgcg2" TargetMode="External"/><Relationship Id="rId8" Type="http://schemas.openxmlformats.org/officeDocument/2006/relationships/hyperlink" Target="https://www.thetimes.com/business/economics/article/pension-funds-investment-88tz9z6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