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50qpgyqpoesz" w:id="0"/>
      <w:bookmarkEnd w:id="0"/>
      <w:r w:rsidDel="00000000" w:rsidR="00000000" w:rsidRPr="00000000">
        <w:rPr>
          <w:b w:val="1"/>
          <w:bCs w:val="1"/>
          <w:color w:val="1b1b1b"/>
          <w:sz w:val="90"/>
          <w:szCs w:val="90"/>
          <w:rtl w:val="0"/>
        </w:rPr>
        <w:t xml:space="preserve">Standard thinking may be resistant</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pbjyg1wpx6y2" w:id="1"/>
      <w:bookmarkEnd w:id="1"/>
      <w:r w:rsidDel="00000000" w:rsidR="00000000" w:rsidRPr="00000000">
        <w:rPr>
          <w:sz w:val="50"/>
          <w:szCs w:val="50"/>
          <w:rtl w:val="0"/>
        </w:rPr>
        <w:t xml:space="preserve">Only one in seven people are saving enough for a decent retirement, says the Standard Life boss, Andy Briggs; so, would you put more of your money with him?</w:t>
      </w:r>
    </w:p>
    <w:p w:rsidR="00000000" w:rsidDel="00000000" w:rsidP="00000000" w:rsidRDefault="00000000" w:rsidRPr="00000000" w14:paraId="00000003">
      <w:pPr>
        <w:spacing w:after="320" w:before="0" w:lineRule="auto"/>
        <w:rPr>
          <w:color w:val="1b1b1b"/>
          <w:sz w:val="27"/>
          <w:szCs w:val="27"/>
        </w:rPr>
      </w:pPr>
      <w:r w:rsidDel="00000000" w:rsidR="00000000" w:rsidRPr="00000000">
        <w:rPr>
          <w:color w:val="1b1b1b"/>
          <w:sz w:val="27"/>
          <w:szCs w:val="27"/>
          <w:rtl w:val="0"/>
        </w:rPr>
        <w:t xml:space="preserve">Wednesday April 15 2026, 9.28pm,</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Apparently “only one in seven” people are saving enough for a decent retirement. Who says so? Andy Briggs, the chief executive of Standard Life: the new old name for Phoenix Group. So, how about putting more of your money with him?</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It’s a bit of a self-serving argument, even if Briggs’s take on our meagre pension pots is probably spot-on. Still, he is doing his bit to ensure that a decent chunk of any extra savings flows Standard Life’s way. His latest move? A £2 billion cash-and-shares deal to buy Aegon UK: the savings and retirement outfit put up for sale by its Dutch owner, Aegon Europe, as it segues to Trumpland under its new moniker, Transamerica.</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Briggs has just reportedly outbid the likes of Barclays and Lloyds Banking Group for the business, all against the backdrop of the Iran war — a sizeable bet for a group valued at £7.36 billion on shares up 2 per cent to 729p. And the announcement does come with some deceptively tricky maths.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Aegon business brings £160 billion of assets under management and 3.8 million customers, creating a combo with £480 billion of assets and 16 million clients. Yet, while the tie-up will result in the UK No 2 for both workplace pensions and UK retail products, it’ll also create what Briggs calls the “largest retirement savings and income business”.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How come? Well, for the same reason that Briggs can issue the rallying cry: “Together, we will not only be stronger, we will be better.” The likes of Legal &amp; General and the Lloyds-owned Scottish Widows may be big players on the workplace pension front, while St James’s Place and Quilter Cheviot have hefty retail clout. Yet, as Briggs puts it, “we have both of them together”, with the Aegon deal “accelerating” his vision to be the No 1 such group.</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Briggs lauds the “complementary” fit. Standard Life’s workplace biz is mainly larger companies; Aegon’s is smaller stuff. On top, while Standard Life has retail products, Aegon brings a “top-10 UK platform”, used by financial advisers, on which to sell them. That’s key to Briggs getting more business out of the “50-plus” age group — a cohort, he hopes, that’ll morph from their workplace pension relationship with the group to other investment products, such as Isas. In short, a sort of evolutionary cross-selling.</w:t>
      </w:r>
    </w:p>
    <w:p w:rsidR="00000000" w:rsidDel="00000000" w:rsidP="00000000" w:rsidRDefault="00000000" w:rsidRPr="00000000" w14:paraId="0000000A">
      <w:pPr>
        <w:spacing w:after="280" w:before="280" w:lineRule="auto"/>
        <w:rPr>
          <w:color w:val="1b1b1b"/>
          <w:sz w:val="27"/>
          <w:szCs w:val="27"/>
        </w:rPr>
      </w:pPr>
      <w:hyperlink r:id="rId6">
        <w:r w:rsidDel="00000000" w:rsidR="00000000" w:rsidRPr="00000000">
          <w:rPr>
            <w:color w:val="416ed2"/>
            <w:sz w:val="27"/>
            <w:szCs w:val="27"/>
            <w:rtl w:val="0"/>
          </w:rPr>
          <w:t xml:space="preserve">The Aegon deal</w:t>
        </w:r>
      </w:hyperlink>
      <w:r w:rsidDel="00000000" w:rsidR="00000000" w:rsidRPr="00000000">
        <w:rPr>
          <w:color w:val="1b1b1b"/>
          <w:sz w:val="27"/>
          <w:szCs w:val="27"/>
          <w:rtl w:val="0"/>
        </w:rPr>
        <w:t xml:space="preserve"> helps him get there quicker, with some of the risk taken out by its structure. Only £750 million is in cash, the rest coming to Aegon via 181 million new shares. It will make it Standard Life’s biggest investor with 15.3 per cent — ahead of the 12 per cent of Japan’s MS&amp;AD Insurance and Aberdeen’s 9 per cent. And the price — 0.83 times Aegon’s £2.4 billion “unrestricted tier 1” capital (don’t ask) — stacks up well against similar deals. Aegon shares slipped slightly to €6.85.</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Briggs will also get £110 million of run-rate synergies, mainly from job cuts among the joint 7,700-strong workforce, plus a more fee-based “capital-light” group, which could see a higher stock market rating. Such earnings will rise from 47 per cent to 57 per cent of the group, with it less exposed to capital-heavy annuities.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All the same, he’s now got to prove his deal works. And, just now, with the Iran conflict driving up prices, most people have more pressing concerns than their retirement. Briggs may find it’s harder than he thinks to shake such a standard way of thinking.</w:t>
      </w:r>
    </w:p>
    <w:p w:rsidR="00000000" w:rsidDel="00000000" w:rsidP="00000000" w:rsidRDefault="00000000" w:rsidRPr="00000000" w14:paraId="0000000D">
      <w:pPr>
        <w:pStyle w:val="Heading2"/>
        <w:keepNext w:val="0"/>
        <w:keepLines w:val="0"/>
        <w:spacing w:after="80" w:lineRule="auto"/>
        <w:rPr>
          <w:b w:val="1"/>
          <w:bCs w:val="1"/>
          <w:color w:val="1b1b1b"/>
          <w:sz w:val="49"/>
          <w:szCs w:val="49"/>
        </w:rPr>
      </w:pPr>
      <w:bookmarkStart w:colFirst="0" w:colLast="0" w:name="_ty2ocvamfeyi" w:id="2"/>
      <w:bookmarkEnd w:id="2"/>
      <w:r w:rsidDel="00000000" w:rsidR="00000000" w:rsidRPr="00000000">
        <w:rPr>
          <w:b w:val="1"/>
          <w:bCs w:val="1"/>
          <w:color w:val="1b1b1b"/>
          <w:sz w:val="49"/>
          <w:szCs w:val="49"/>
          <w:rtl w:val="0"/>
        </w:rPr>
        <w:t xml:space="preserve">Plenty to build on</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So much for “accelerating the delivery of the homes this country needs”. When Barratt unveiled its £2.52 billion Redrow extension in February 2024, the duo had together just delivered “total completions of 22,642” in 2023. This year’s target? A top-whack 17,800 (</w:t>
      </w:r>
      <w:hyperlink r:id="rId7">
        <w:r w:rsidDel="00000000" w:rsidR="00000000" w:rsidRPr="00000000">
          <w:rPr>
            <w:color w:val="416ed2"/>
            <w:sz w:val="27"/>
            <w:szCs w:val="27"/>
            <w:rtl w:val="0"/>
          </w:rPr>
          <w:t xml:space="preserve">report, Business</w:t>
        </w:r>
      </w:hyperlink>
      <w:r w:rsidDel="00000000" w:rsidR="00000000" w:rsidRPr="00000000">
        <w:rPr>
          <w:color w:val="1b1b1b"/>
          <w:sz w:val="27"/>
          <w:szCs w:val="27"/>
          <w:rtl w:val="0"/>
        </w:rPr>
        <w:t xml:space="preserve">).</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That’s barely more than the 17,206 homes Barratt completed by itself in 2023, while the share price on which the deal was struck — 530p — looks a distant memory. Today, it’s 267¼p, even after a 3.5 per cent bounce on what chief executive David Thomas called a “solid third quarter”.</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Yes, housebuilding is a cyclical business. And it’s got harder lately, with the Iran war jacking up mortgage rates. Even so, as Thomas prepares to hand over the big hard hat to his successor, Dean Banks, in the final quarter of this year, he’s far from proving that the Redrow wing has spruced up the Barratt pad.</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Sure, you could argue that one reason Thomas can now spend up to £200 million less than expected on buying new land is because Redrow has underpinned “the strength of our existing land bank”. And it’s brought a more upmarket brand for wider customer appeal.</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Yet, as Stifel analysts noted, Barratt shares have badly lagged the market. On their maths, they’re now trading at “0.55 book [value], a 20 per cent discount to the sector and the lowest multiple since May 2012”. That’s not helped by Barratt having the industry’s biggest cladding provision at £829 million, at risk of inflationary increases, and the management changes. Still, after 11 years in charge, this can’t be how Thomas wants to bow out.</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times.com/business/companies-markets/article/standard-life-buys-aegon-uk-for-2bn-fm9h32wf0" TargetMode="External"/><Relationship Id="rId7" Type="http://schemas.openxmlformats.org/officeDocument/2006/relationships/hyperlink" Target="https://www.thetimes.com/business/companies-markets/article/barratt-redrow-cuts-land-buying-due-to-less-certain-backdrop-27x678gq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