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tapf0mjdo5ji" w:id="0"/>
      <w:bookmarkEnd w:id="0"/>
      <w:r w:rsidDel="00000000" w:rsidR="00000000" w:rsidRPr="00000000">
        <w:rPr>
          <w:b w:val="1"/>
          <w:bCs w:val="1"/>
          <w:color w:val="1b1b1b"/>
          <w:sz w:val="90"/>
          <w:szCs w:val="90"/>
          <w:rtl w:val="0"/>
        </w:rPr>
        <w:t xml:space="preserve">CVC-led group closes in on £1bn Standard Life pensions deal</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2fpobue6npbw" w:id="1"/>
      <w:bookmarkEnd w:id="1"/>
      <w:r w:rsidDel="00000000" w:rsidR="00000000" w:rsidRPr="00000000">
        <w:rPr>
          <w:sz w:val="50"/>
          <w:szCs w:val="50"/>
          <w:rtl w:val="0"/>
        </w:rPr>
        <w:t xml:space="preserve">Consortium, which includes Prudential Financial, would help fund buyouts of defined-benefit schemes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 consortium led by CVC and Prudential Financial is in pole position to take a £1bn-plus stake in Standard Life’s pension-risk transfer business, as investors chase opportunities to back UK retirement plans.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group led by the European private capital firm and US insurer has pulled ahead of other groups seeking to invest in a new entity set up by Standard Life to fund bigger pension scheme buyouts, according to people familiar with the matter.</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joint venture is being pitched by Standard Life, previously called Phoenix Group, as an opportunity to compete with North American private capital groups such as Apollo and Brookfield, which have recently muscled into the market.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new entity would invest in pension risk transfer deals, in which companies sell their retirement schemes to insurers which then take responsibility for meeting pension obligations to pay retirees their pensions. The insurers make a return on their investment if the gains on the pension scheme’s assets exceed the pensions they must pay retirees.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As much as £350bn to £550bn of these deals are expected to be agreed in the UK over the next decade as companies seek to get liabilities related to defined-benefit pension schemes off their balance sheets, according to consultancy LCP, though the pace of transactions has </w:t>
      </w:r>
      <w:hyperlink r:id="rId6">
        <w:r w:rsidDel="00000000" w:rsidR="00000000" w:rsidRPr="00000000">
          <w:rPr>
            <w:color w:val="416ed2"/>
            <w:sz w:val="27"/>
            <w:szCs w:val="27"/>
            <w:rtl w:val="0"/>
          </w:rPr>
          <w:t xml:space="preserve">slowed</w:t>
        </w:r>
      </w:hyperlink>
      <w:r w:rsidDel="00000000" w:rsidR="00000000" w:rsidRPr="00000000">
        <w:rPr>
          <w:color w:val="1b1b1b"/>
          <w:sz w:val="27"/>
          <w:szCs w:val="27"/>
          <w:rtl w:val="0"/>
        </w:rPr>
        <w:t xml:space="preserv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Under the terms being discussed, the people said, the coalition led by CVC and Prudential Financial would take an equity stake in a subsidiary of Standard Life called SLAL.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agreement has not been finalised, they added, but if agreed could be announced as soon as the end of next month.</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consortium would commit to supplying more than £1bn in equity, which would be injected over time as Standard Life seals risk-transfer deals.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This would give Standard Life more firepower to bid for larger pension schemes, putting it in league with UK insurers such as Pension Insurance Corporation, Legal &amp; General and Rothesay, which have dominated this segment of the market.</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Large international asset managers have taken different paths to access the UK market. Brookfield and Apollo-backed insurer Athora announced direct acquisitions of UK insurers, while Legal &amp; General struck an </w:t>
      </w:r>
      <w:hyperlink r:id="rId7">
        <w:r w:rsidDel="00000000" w:rsidR="00000000" w:rsidRPr="00000000">
          <w:rPr>
            <w:color w:val="416ed2"/>
            <w:sz w:val="27"/>
            <w:szCs w:val="27"/>
            <w:rtl w:val="0"/>
          </w:rPr>
          <w:t xml:space="preserve">agreement</w:t>
        </w:r>
      </w:hyperlink>
      <w:r w:rsidDel="00000000" w:rsidR="00000000" w:rsidRPr="00000000">
        <w:rPr>
          <w:color w:val="1b1b1b"/>
          <w:sz w:val="27"/>
          <w:szCs w:val="27"/>
          <w:rtl w:val="0"/>
        </w:rPr>
        <w:t xml:space="preserve"> with Blackstone worth up to $20bn to invest in US private credit.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People who had reviewed Standard Life’s proposed structure said it would be approved by regulators, adding that it was intended to give investors more “skin in the game” than under external asset management agreements such as those used by some competitors, while allowing Standard Life to remain an independently owned group.</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UK-based PIC and Just Group have struck deals to be acquired by Athora and Brookfield, respectively.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recent months, regulators and senior market figures have raised </w:t>
      </w:r>
      <w:hyperlink r:id="rId8">
        <w:r w:rsidDel="00000000" w:rsidR="00000000" w:rsidRPr="00000000">
          <w:rPr>
            <w:color w:val="416ed2"/>
            <w:sz w:val="27"/>
            <w:szCs w:val="27"/>
            <w:rtl w:val="0"/>
          </w:rPr>
          <w:t xml:space="preserve">concerns</w:t>
        </w:r>
      </w:hyperlink>
      <w:r w:rsidDel="00000000" w:rsidR="00000000" w:rsidRPr="00000000">
        <w:rPr>
          <w:color w:val="1b1b1b"/>
          <w:sz w:val="27"/>
          <w:szCs w:val="27"/>
          <w:rtl w:val="0"/>
        </w:rPr>
        <w:t xml:space="preserve"> that some US alternative asset managers may be taking on too much risk in their insurance businesses.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BlackRock and Goldman Sachs’ asset management arm are among the other investors that have looked at investing in Standard Life’s proposed structure.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Standard Life, CVC and Prudential Financial declined to comment.</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ntent/c89ad07e-965f-4504-97f4-ab44f4d0f81f?syn-25a6b1a6=1" TargetMode="External"/><Relationship Id="rId7" Type="http://schemas.openxmlformats.org/officeDocument/2006/relationships/hyperlink" Target="https://www.ft.com/content/bbe4cf3e-0148-4084-bd8b-09a5d5504d81?syn-25a6b1a6=1" TargetMode="External"/><Relationship Id="rId8" Type="http://schemas.openxmlformats.org/officeDocument/2006/relationships/hyperlink" Target="https://www.ft.com/content/b6be87a9-0abf-4950-9060-2159aa547f3d?syn-25a6b1a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