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hzp6gqliqum7" w:id="0"/>
      <w:bookmarkEnd w:id="0"/>
      <w:r w:rsidDel="00000000" w:rsidR="00000000" w:rsidRPr="00000000">
        <w:rPr>
          <w:b w:val="1"/>
          <w:bCs w:val="1"/>
          <w:color w:val="1b1b1b"/>
          <w:sz w:val="90"/>
          <w:szCs w:val="90"/>
          <w:rtl w:val="0"/>
        </w:rPr>
        <w:t xml:space="preserve">Standard Life’s £2bn ‘reset’ faces adviser test</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It has been nearly a decade of mergers, break-ups and rebrands that saw one of Britain’s best-known financial services names struggle with its identity.</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Now Standard Life is attempting what looks like a reset, with its </w:t>
      </w:r>
      <w:hyperlink r:id="rId6">
        <w:r w:rsidDel="00000000" w:rsidR="00000000" w:rsidRPr="00000000">
          <w:rPr>
            <w:color w:val="416ed2"/>
            <w:sz w:val="27"/>
            <w:szCs w:val="27"/>
            <w:rtl w:val="0"/>
          </w:rPr>
          <w:t xml:space="preserve">£2bn acquisition of Aegon UK</w:t>
        </w:r>
      </w:hyperlink>
      <w:r w:rsidDel="00000000" w:rsidR="00000000" w:rsidRPr="00000000">
        <w:rPr>
          <w:color w:val="1b1b1b"/>
          <w:sz w:val="27"/>
          <w:szCs w:val="27"/>
          <w:rtl w:val="0"/>
        </w:rPr>
        <w:t xml:space="preserve">, the clearest statement of that renewed ambition.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While the deal signals big ambitions for growth, advisers question whether this marks a genuine turning point or is simply a larger version of the same structural and service challenges that have dogged the platform market for years.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Steve Nelson, insight director at the Lang Cat, says that while this deal gives Standard Life the “raw materials” for a genuine reset, it does not deliver one by itself, as advisers will not be convinced by scale, headlines or corporate logic.</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Instead, they will be convinced by better service, better technology, less friction and a sense that the combined business has kept hold of the very real depth of talent that exists across both Standard Life and Aegon.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“Such is the nature of things in Edinburgh, that most of us in this sector have either done a stint at one of these businesses, worked alongside people who have, or know plenty of people close to them,” Nelson adds.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“So we know there is a lot of experience, knowledge and talent inside both organisations. If that is properly valued and brought together, this could become much more than a scale play.”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other critical piece, Nelson stresses, is strategy. The deal needs to be more than a large acquisition followed by a complex integration programme.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Additionally, Standard Life needs to articulate, clearly and consistently, what it wants to be for advisers, how the combined business will be different, and why advisers and clients should be better off as a result.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“Without that, the market will simply see another round of consolidation,” Nelson says. “Advisers are not anti-scale; they’re anti being told that scale is for their benefit when their lived experience can often say otherwise. The opportunity here is real, but the market will judge this on execution, not aspiration.”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If Standard Life is successful in this reset, it will follow years of a messy identity and strategy drift, from Standard Life to Aberdeen to Phoenix and then to Standard Life again.</w:t>
      </w:r>
    </w:p>
    <w:p w:rsidR="00000000" w:rsidDel="00000000" w:rsidP="00000000" w:rsidRDefault="00000000" w:rsidRPr="00000000" w14:paraId="0000000E">
      <w:pPr>
        <w:pStyle w:val="Heading3"/>
        <w:keepNext w:val="0"/>
        <w:keepLines w:val="0"/>
        <w:spacing w:before="280" w:lineRule="auto"/>
        <w:rPr>
          <w:b w:val="1"/>
          <w:bCs w:val="1"/>
          <w:color w:val="1b1b1b"/>
          <w:sz w:val="39"/>
          <w:szCs w:val="39"/>
        </w:rPr>
      </w:pPr>
      <w:bookmarkStart w:colFirst="0" w:colLast="0" w:name="_opq644v36r28" w:id="1"/>
      <w:bookmarkEnd w:id="1"/>
      <w:r w:rsidDel="00000000" w:rsidR="00000000" w:rsidRPr="00000000">
        <w:rPr>
          <w:b w:val="1"/>
          <w:bCs w:val="1"/>
          <w:color w:val="1b1b1b"/>
          <w:sz w:val="39"/>
          <w:szCs w:val="39"/>
          <w:rtl w:val="0"/>
        </w:rPr>
        <w:t xml:space="preserve">Tracking Standard Life’s disjointed journey:</w:t>
      </w:r>
    </w:p>
    <w:p w:rsidR="00000000" w:rsidDel="00000000" w:rsidP="00000000" w:rsidRDefault="00000000" w:rsidRPr="00000000" w14:paraId="0000000F">
      <w:pPr>
        <w:pStyle w:val="Heading2"/>
        <w:keepNext w:val="0"/>
        <w:keepLines w:val="0"/>
        <w:spacing w:after="80" w:lineRule="auto"/>
        <w:rPr>
          <w:b w:val="1"/>
          <w:bCs w:val="1"/>
          <w:color w:val="1b1b1b"/>
          <w:sz w:val="49"/>
          <w:szCs w:val="49"/>
        </w:rPr>
      </w:pPr>
      <w:bookmarkStart w:colFirst="0" w:colLast="0" w:name="_pli79gokephr" w:id="2"/>
      <w:bookmarkEnd w:id="2"/>
      <w:r w:rsidDel="00000000" w:rsidR="00000000" w:rsidRPr="00000000">
        <w:rPr>
          <w:b w:val="1"/>
          <w:bCs w:val="1"/>
          <w:color w:val="1b1b1b"/>
          <w:sz w:val="49"/>
          <w:szCs w:val="49"/>
          <w:rtl w:val="0"/>
        </w:rPr>
        <w:t xml:space="preserve">Is bigger better?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While for some years now, Phoenix — now Standard Life — would have been seen as a closed-book life fund consolidator, the acquisition of Aegon sets it on the path to become a growth-oriented retirement platform.</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deal creates the nation’s second-largest retail pensions and savings platform by assets. Standard Life boss Andy Briggs has said the deal significantly accelerates their vision to be the UK’s leading retirement savings and income business.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£2bn deal adds £160bn of assets under administration, creating an enlarged group with approximately £480bn of AUA, while the addition of 3.8mn customers brings Standard Life’s total to 16mn customers.</w:t>
      </w:r>
    </w:p>
    <w:p w:rsidR="00000000" w:rsidDel="00000000" w:rsidP="00000000" w:rsidRDefault="00000000" w:rsidRPr="00000000" w14:paraId="00000013">
      <w:pPr>
        <w:spacing w:after="280" w:before="280" w:lineRule="auto"/>
        <w:rPr>
          <w:color w:val="1b1b1b"/>
          <w:sz w:val="20"/>
          <w:szCs w:val="20"/>
        </w:rPr>
      </w:pPr>
      <w:r w:rsidDel="00000000" w:rsidR="00000000" w:rsidRPr="00000000">
        <w:rPr>
          <w:color w:val="1b1b1b"/>
          <w:sz w:val="27"/>
          <w:szCs w:val="27"/>
          <w:rtl w:val="0"/>
        </w:rPr>
        <w:t xml:space="preserve">Standard Life says the purchase of </w:t>
      </w:r>
      <w:hyperlink r:id="rId7">
        <w:r w:rsidDel="00000000" w:rsidR="00000000" w:rsidRPr="00000000">
          <w:rPr>
            <w:color w:val="416ed2"/>
            <w:sz w:val="27"/>
            <w:szCs w:val="27"/>
            <w:rtl w:val="0"/>
          </w:rPr>
          <w:t xml:space="preserve">Aegon</w:t>
        </w:r>
      </w:hyperlink>
      <w:r w:rsidDel="00000000" w:rsidR="00000000" w:rsidRPr="00000000">
        <w:rPr>
          <w:color w:val="1b1b1b"/>
          <w:sz w:val="27"/>
          <w:szCs w:val="27"/>
          <w:rtl w:val="0"/>
        </w:rPr>
        <w:t xml:space="preserve"> will allow it to “increase the accessibility of off-platform solutions” and increase accessibility for advisers. </w:t>
      </w:r>
      <w:r w:rsidDel="00000000" w:rsidR="00000000" w:rsidRPr="00000000">
        <w:rPr>
          <w:rtl w:val="0"/>
        </w:rPr>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Nouran Moustafa, practice principal and advisory strategy lead at Roxton Wealth, says on paper, the logic behind the deal is clear: the UK pensions and platform market is moving towards greater scale, regulation is becoming more demanding, and providers need the capital, technology and operational strength to support clients properly over the long term. </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As a result, a deal of that size did not surprise her, but her immediate reaction to hearing about it was cautious optimism, with the emphasis very much on “cautious”.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Moustafa adds: “From an adviser’s perspective, scale is not automatically a client benefit. Advisers do not and should not judge platforms by the size of the balance sheet or the ambition in the press release.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“We judge them and should be judging by what happens when a client needs a transfer completed, a drawdown query resolved, a death claim handled sensitively, a platform error corrected, or a vulnerable client supported properly. That is where trust is either built or lost.”</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Research by NextWealth has also found that advisers are tightening up platform panels at each review, looking across things like breadth of wrapper, data quality (as well as service).</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“If taking the temperature, and based on our latest survey, which asked about willingness to recommend your platform, Aegon and Standard Life both rate below average.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“This will be important to the combined group to get in front of all of this sentiment, especially if a platform migration is on the horizon. Just because two large players have come together doesn’t automatically mean flows will be at the same rate.”</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Napier notes there could also be some nervousness for those advisers affected by the post-acquisition problems in 2018, in the Cofunds to Aegon transaction.</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Moustafa says following the Standard Life/Aegon deal announcement, she would neither recommend nor avoid a platform purely because of a merger announcement.</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Her recommendations are based on client suitability, charges, functionality, financial strength, service, product features, investment options and the client’s specific needs.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However, during a major transition, she would naturally be more cautious before placing new business unless she had confidence that service standards, platform functionality and client communications were stable. </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She says: “Pensions cannot tolerate uncertainty, and advisers have a duty to prioritise client protection over corporate momentum.”</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According to Moustafa, while advisers are becoming more cautious when it comes to relying on large consolidated platforms, it does not mean they are anti-scale.</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She says: “Scale can be valuable. It can fund better technology, stronger governance, improved investment capability and more robust retirement solutions. </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“But advisers are increasingly aware that concentration can also reduce choice, make platforms feel less personal, and create a risk that service standards become too standardised for clients with more complex needs.</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pensions market needs strong providers, but it also needs competition, innovation and genuine accountability. Bigger can be better, but only if it is also clearer, faster, more responsive and more client-focused.”</w:t>
      </w:r>
    </w:p>
    <w:p w:rsidR="00000000" w:rsidDel="00000000" w:rsidP="00000000" w:rsidRDefault="00000000" w:rsidRPr="00000000" w14:paraId="00000024">
      <w:pPr>
        <w:pStyle w:val="Heading2"/>
        <w:keepNext w:val="0"/>
        <w:keepLines w:val="0"/>
        <w:spacing w:after="80" w:lineRule="auto"/>
        <w:rPr>
          <w:b w:val="1"/>
          <w:bCs w:val="1"/>
          <w:color w:val="1b1b1b"/>
          <w:sz w:val="49"/>
          <w:szCs w:val="49"/>
        </w:rPr>
      </w:pPr>
      <w:bookmarkStart w:colFirst="0" w:colLast="0" w:name="_e17tjer1mh7z" w:id="3"/>
      <w:bookmarkEnd w:id="3"/>
      <w:r w:rsidDel="00000000" w:rsidR="00000000" w:rsidRPr="00000000">
        <w:rPr>
          <w:b w:val="1"/>
          <w:bCs w:val="1"/>
          <w:color w:val="1b1b1b"/>
          <w:sz w:val="49"/>
          <w:szCs w:val="49"/>
          <w:rtl w:val="0"/>
        </w:rPr>
        <w:t xml:space="preserve">Integration frustration</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Another big risk is how well the integration goes. </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Nelson says this is significant because platform migrations and operating model changes are rarely painless. </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And as such, advisers will be watching closely for signs that service standards are being protected (and improved); that the best people and capabilities from both businesses are retained; and that the combined group is investing in the adviser experience rather than simply extracting provider economics.</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“So no, I don’t think this immediately makes Standard Life more attractive to the advice profession on day one. What it does do is give them the raw ingredients to become more attractive over time,” says Nelson.</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“The question is whether they can turn scale, people, technology and a clearly defined strategy into something advisers actually feel in their day-to-day working lives.”</w:t>
      </w:r>
    </w:p>
    <w:p w:rsidR="00000000" w:rsidDel="00000000" w:rsidP="00000000" w:rsidRDefault="00000000" w:rsidRPr="00000000" w14:paraId="0000002A">
      <w:pPr>
        <w:spacing w:after="280" w:before="280" w:lineRule="auto"/>
        <w:rPr>
          <w:color w:val="1b1b1b"/>
          <w:sz w:val="27"/>
          <w:szCs w:val="27"/>
        </w:rPr>
      </w:pPr>
      <w:r w:rsidDel="00000000" w:rsidR="00000000" w:rsidRPr="00000000">
        <w:rPr>
          <w:color w:val="1b1b1b"/>
          <w:sz w:val="27"/>
          <w:szCs w:val="27"/>
          <w:rtl w:val="0"/>
        </w:rPr>
        <w:t xml:space="preserve">Platform migration has been a painful process for many organisations over an extended period of time.</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However, according to Ian McKenna, founder of FTRC, it is important to recognise that Standard Life, as the recently rebranded Phoenix business, have a very long record of migrating legacy businesses: “Phoenix have done a huge amount behind the scenes in recent years to streamline their legacy systems. In this respect, I think Standard Life is probably one of the best homes for the Aegon book to move to.</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“Historically, Aegon have had two main platforms, the old Cofunds platform and Aegon ARC (Aegon Retirement Choices). That said, Aegon also have a major workplace pension book.</w:t>
      </w:r>
    </w:p>
    <w:p w:rsidR="00000000" w:rsidDel="00000000" w:rsidP="00000000" w:rsidRDefault="00000000" w:rsidRPr="00000000" w14:paraId="0000002D">
      <w:pPr>
        <w:spacing w:after="280" w:before="280" w:lineRule="auto"/>
        <w:rPr>
          <w:color w:val="1b1b1b"/>
          <w:sz w:val="27"/>
          <w:szCs w:val="27"/>
        </w:rPr>
      </w:pPr>
      <w:r w:rsidDel="00000000" w:rsidR="00000000" w:rsidRPr="00000000">
        <w:rPr>
          <w:color w:val="1b1b1b"/>
          <w:sz w:val="27"/>
          <w:szCs w:val="27"/>
          <w:rtl w:val="0"/>
        </w:rPr>
        <w:t xml:space="preserve">“Like most platforms, some of their technology has been around for a long time, but there are also processes for continuous improvement.”</w:t>
      </w:r>
    </w:p>
    <w:p w:rsidR="00000000" w:rsidDel="00000000" w:rsidP="00000000" w:rsidRDefault="00000000" w:rsidRPr="00000000" w14:paraId="0000002E">
      <w:pPr>
        <w:spacing w:after="280" w:before="280" w:lineRule="auto"/>
        <w:rPr>
          <w:color w:val="1b1b1b"/>
          <w:sz w:val="27"/>
          <w:szCs w:val="27"/>
        </w:rPr>
      </w:pPr>
      <w:r w:rsidDel="00000000" w:rsidR="00000000" w:rsidRPr="00000000">
        <w:rPr>
          <w:color w:val="1b1b1b"/>
          <w:sz w:val="27"/>
          <w:szCs w:val="27"/>
          <w:rtl w:val="0"/>
        </w:rPr>
        <w:t xml:space="preserve">Additionally, moving to an organisation that has made investments in its underlying technology (Standard Life) over an extended period of years is better than staying with an institution (Aegon) that “is clearly no longer committed not just to the UK, but even Europe”, McKenna says.</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However, he acknowledges that platform migration has historically been a painful process across the industry, even if Standard Life may be better placed than most to manage the transition - meaning execution will remain key.</w:t>
      </w:r>
    </w:p>
    <w:p w:rsidR="00000000" w:rsidDel="00000000" w:rsidP="00000000" w:rsidRDefault="00000000" w:rsidRPr="00000000" w14:paraId="00000030">
      <w:pPr>
        <w:pStyle w:val="Heading2"/>
        <w:keepNext w:val="0"/>
        <w:keepLines w:val="0"/>
        <w:spacing w:after="80" w:lineRule="auto"/>
        <w:rPr>
          <w:b w:val="1"/>
          <w:bCs w:val="1"/>
          <w:color w:val="1b1b1b"/>
          <w:sz w:val="49"/>
          <w:szCs w:val="49"/>
        </w:rPr>
      </w:pPr>
      <w:bookmarkStart w:colFirst="0" w:colLast="0" w:name="_o914de3x2ivr" w:id="4"/>
      <w:bookmarkEnd w:id="4"/>
      <w:r w:rsidDel="00000000" w:rsidR="00000000" w:rsidRPr="00000000">
        <w:rPr>
          <w:b w:val="1"/>
          <w:bCs w:val="1"/>
          <w:color w:val="1b1b1b"/>
          <w:sz w:val="49"/>
          <w:szCs w:val="49"/>
          <w:rtl w:val="0"/>
        </w:rPr>
        <w:t xml:space="preserve">A new strategy</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A Standard Life spokesperson says Phoenix Group has shifted from consolidating closed-book life companies to a growth strategy following its acquisitions of Standard Life Assurance (2018) and the brand (2021). </w:t>
      </w:r>
    </w:p>
    <w:p w:rsidR="00000000" w:rsidDel="00000000" w:rsidP="00000000" w:rsidRDefault="00000000" w:rsidRPr="00000000" w14:paraId="00000032">
      <w:pPr>
        <w:spacing w:after="280" w:before="280" w:lineRule="auto"/>
        <w:rPr>
          <w:color w:val="1b1b1b"/>
          <w:sz w:val="27"/>
          <w:szCs w:val="27"/>
        </w:rPr>
      </w:pPr>
      <w:r w:rsidDel="00000000" w:rsidR="00000000" w:rsidRPr="00000000">
        <w:rPr>
          <w:color w:val="1b1b1b"/>
          <w:sz w:val="27"/>
          <w:szCs w:val="27"/>
          <w:rtl w:val="0"/>
        </w:rPr>
        <w:t xml:space="preserve">This pivot focused first on pensions risk transfer and workplace pensions, generating £5.3bn in net workplace flows and £3.9bn in risk transfer deals last year. </w:t>
      </w:r>
    </w:p>
    <w:p w:rsidR="00000000" w:rsidDel="00000000" w:rsidP="00000000" w:rsidRDefault="00000000" w:rsidRPr="00000000" w14:paraId="00000033">
      <w:pPr>
        <w:spacing w:after="280" w:before="280" w:lineRule="auto"/>
        <w:rPr>
          <w:color w:val="1b1b1b"/>
          <w:sz w:val="27"/>
          <w:szCs w:val="27"/>
        </w:rPr>
      </w:pPr>
      <w:r w:rsidDel="00000000" w:rsidR="00000000" w:rsidRPr="00000000">
        <w:rPr>
          <w:color w:val="1b1b1b"/>
          <w:sz w:val="27"/>
          <w:szCs w:val="27"/>
          <w:rtl w:val="0"/>
        </w:rPr>
        <w:t xml:space="preserve">The group now aims to become a top-five retail player, expanding its offering to individuals and advisers under the Standard Life brand, now reflected in its corporate name. </w:t>
      </w:r>
    </w:p>
    <w:p w:rsidR="00000000" w:rsidDel="00000000" w:rsidP="00000000" w:rsidRDefault="00000000" w:rsidRPr="00000000" w14:paraId="00000034">
      <w:pPr>
        <w:spacing w:after="280" w:before="280" w:lineRule="auto"/>
        <w:rPr>
          <w:color w:val="1b1b1b"/>
          <w:sz w:val="27"/>
          <w:szCs w:val="27"/>
        </w:rPr>
      </w:pPr>
      <w:r w:rsidDel="00000000" w:rsidR="00000000" w:rsidRPr="00000000">
        <w:rPr>
          <w:color w:val="1b1b1b"/>
          <w:sz w:val="27"/>
          <w:szCs w:val="27"/>
          <w:rtl w:val="0"/>
        </w:rPr>
        <w:t xml:space="preserve">The proposed Aegon UK acquisition supports this strategy, strengthening its position in the retail intermediary market. </w:t>
      </w:r>
    </w:p>
    <w:p w:rsidR="00000000" w:rsidDel="00000000" w:rsidP="00000000" w:rsidRDefault="00000000" w:rsidRPr="00000000" w14:paraId="00000035">
      <w:pPr>
        <w:spacing w:after="280" w:before="280" w:lineRule="auto"/>
        <w:rPr>
          <w:color w:val="1b1b1b"/>
          <w:sz w:val="27"/>
          <w:szCs w:val="27"/>
        </w:rPr>
      </w:pPr>
      <w:r w:rsidDel="00000000" w:rsidR="00000000" w:rsidRPr="00000000">
        <w:rPr>
          <w:color w:val="1b1b1b"/>
          <w:sz w:val="27"/>
          <w:szCs w:val="27"/>
          <w:rtl w:val="0"/>
        </w:rPr>
        <w:t xml:space="preserve">And by adding platform services to existing propositions, Standard Life expects to broaden adviser reach and enhance outcomes for clients: “Both businesses have made considerable investments in their services in recent years, and while we recognise the complexity of the task ahead, we believe there’s an opportunity to do more for advisers and their clients, and we are excited about the potential that the acquisition creates.”</w:t>
      </w:r>
    </w:p>
    <w:p w:rsidR="00000000" w:rsidDel="00000000" w:rsidP="00000000" w:rsidRDefault="00000000" w:rsidRPr="00000000" w14:paraId="00000036">
      <w:pPr>
        <w:spacing w:after="280" w:before="280" w:lineRule="auto"/>
        <w:rPr>
          <w:color w:val="1b1b1b"/>
          <w:sz w:val="27"/>
          <w:szCs w:val="27"/>
        </w:rPr>
      </w:pPr>
      <w:r w:rsidDel="00000000" w:rsidR="00000000" w:rsidRPr="00000000">
        <w:rPr>
          <w:color w:val="1b1b1b"/>
          <w:sz w:val="27"/>
          <w:szCs w:val="27"/>
          <w:rtl w:val="0"/>
        </w:rPr>
        <w:t xml:space="preserve">Indeed, this deal gives Standard Life a very significant opportunity, but also a very significant responsibility. </w:t>
      </w:r>
    </w:p>
    <w:p w:rsidR="00000000" w:rsidDel="00000000" w:rsidP="00000000" w:rsidRDefault="00000000" w:rsidRPr="00000000" w14:paraId="00000037">
      <w:pPr>
        <w:spacing w:after="280" w:before="280" w:lineRule="auto"/>
        <w:rPr>
          <w:color w:val="1b1b1b"/>
          <w:sz w:val="27"/>
          <w:szCs w:val="27"/>
        </w:rPr>
      </w:pPr>
      <w:r w:rsidDel="00000000" w:rsidR="00000000" w:rsidRPr="00000000">
        <w:rPr>
          <w:color w:val="1b1b1b"/>
          <w:sz w:val="27"/>
          <w:szCs w:val="27"/>
          <w:rtl w:val="0"/>
        </w:rPr>
        <w:t xml:space="preserve">The question is not whether the combined group becomes one of the biggest players in the market, but whether clients and advisers feel any meaningful improvement because of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content/2d188088-1be1-43b8-8166-8db2f898ab1b" TargetMode="External"/><Relationship Id="rId7" Type="http://schemas.openxmlformats.org/officeDocument/2006/relationships/hyperlink" Target="https://www.ftadviser.com/aegon-uk-p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