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lo9y7rkh8l88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Phoenix debt deal kicks off Australian expansion drive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uxy2mbhh5yu2" w:id="1"/>
      <w:bookmarkEnd w:id="1"/>
      <w:r w:rsidDel="00000000" w:rsidR="00000000" w:rsidRPr="00000000">
        <w:rPr>
          <w:sz w:val="50"/>
          <w:szCs w:val="50"/>
          <w:rtl w:val="0"/>
        </w:rPr>
        <w:t xml:space="preserve">Worley swoop signals start of Asia-Pacific push for UK’s biggest savings and retirements group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Phoenix Group has begun expanding in Australia after making its first investment in the country’s booming private credit sector with a £75mn debt deal. 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UK’s largest savings and retirements business, with £290bn of assets under management, is one of a number of British pension funds looking to grow in Australia. The moves follow rising investment by Australian superannuation funds in UK, European and US assets in recent years. 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£75mn deal with engineering company Worley is Phoenix’s first private debt investment in the region, which it said signalled the first step in a “strategic expansion” across the Asia-Pacific. 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Phoenix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executives have made repeated trips to Australia in the past year to work more closely with its super funds and seek opportunities. 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Mike Ambery, retirement and savings director at Phoenix, told the Financial Times that “Australia is viewed as a benchmark in the UK — the golden child of the industry” and that the two countries needed to foster stronger two-way capital flows. “We will further strengthen those ties and look for assets to invest in.”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David Camerlengo, a commissioner with the Australian Trade and Investment Commission, said Australia and Britain’s “deep” historical trade relationship had been strengthened since a </w:t>
      </w:r>
      <w:hyperlink r:id="rId7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free trade agreement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was signed in 2021 and ratified two years later. 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“The commitment by Phoenix to the Australian market is a wonderful example of the bilateral investment flows between our nations,” Camerlengo said.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Worley is one of Australia’s largest engineering groups, worth A$6.7bn (£3.2bn), and provides services to companies in the mining, energy and chemicals sectors including BHP, Rio Tinto and Woodside Energy.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Phoenix’s move comes as </w:t>
      </w:r>
      <w:hyperlink r:id="rId8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Legal &amp; General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, the UK’s largest asset manager, also looks to expand in Australia. 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Gareth Mee, chief investment officer for institutional retirement at L&amp;G, said the group invested a small proportion of its balance sheet in Australian assets but was “interested to invest more in Australia, particularly given its mature infrastructure market”.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Australian funds, including AustralianSuper and Aware Super, have opened UK offices in recent years to build a stronger presence in Britain. 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UK is exploring hosting an Australian superannuation summit later this year to explore co-investment opportunities between the two countries’ biggest pension funds, according to multiple people familiar with the plans.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t.com/stream/335fc01d-6f96-49b4-a5f3-33af0c1f0ed9" TargetMode="External"/><Relationship Id="rId7" Type="http://schemas.openxmlformats.org/officeDocument/2006/relationships/hyperlink" Target="https://www.ft.com/content/888508d7-04c3-4bda-b273-bfc746523389" TargetMode="External"/><Relationship Id="rId8" Type="http://schemas.openxmlformats.org/officeDocument/2006/relationships/hyperlink" Target="https://www.ft.com/stream/dabf1f8e-ce0b-4812-9e9b-7a8877f2d29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