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j9mdfk2yzwe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Stock Talk: New life at Phoenix after Standard Life rebrand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ob2ahcipz6ur" w:id="1"/>
      <w:bookmarkEnd w:id="1"/>
      <w:r w:rsidDel="00000000" w:rsidR="00000000" w:rsidRPr="00000000">
        <w:rPr>
          <w:sz w:val="50"/>
          <w:szCs w:val="50"/>
          <w:rtl w:val="0"/>
        </w:rPr>
        <w:t xml:space="preserve">Our daily roundup of analyst and fund manager commentary on shares.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i7whs5h5ywt" w:id="2"/>
      <w:bookmarkEnd w:id="2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Phoenix Group Holdings PLC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8b9izho5oayj" w:id="3"/>
      <w:bookmarkEnd w:id="3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Phoenix showing signs of new life, says Panmure Liberum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There is ‘new life’ emerging at</w:t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 Phoenix Group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(PHNX)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which is freeing up plenty of cash, says Panmure Liberum.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insurer announced it would changes its name to Standard Life and had received FCA approval for its advice arm in half-year results published earlier this week.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it was the company’s balance sheet that most impressed analyst Abid Hussain, who retained his ‘buy’ recommendation and target price of 880p on the Citywire Elite Companies AA-rated insurance group, which was trading down 6.1% on Monday morning at 629p after mixed first half results.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Hussain said the results offered a ‘good set of earnings across the key metrics that matter, including operating capital generation, helped by strong product fundamentals’.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there is ‘clear operational leverage emerging, benefiting both the pensions and savings and annuity segments, with margins increasing across both’.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has led to strong balance sheet capital coverage and debt leverage reducing.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‘Tying this together, we forecast the jaws between free cash and dividends to expand, resulting in a cumulative excess cash position by full-year 2027, even after allowing for further debt reductions,’ said Hussain.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‘This provides management with the option to increase capital distributions, reinvest for growth, or both.’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finance/quote/PHNX:LON?window=1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