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11vyllpzd4jl" w:id="0"/>
      <w:bookmarkEnd w:id="0"/>
      <w:r w:rsidDel="00000000" w:rsidR="00000000" w:rsidRPr="00000000">
        <w:rPr>
          <w:b w:val="1"/>
          <w:bCs w:val="1"/>
          <w:color w:val="1b1b1b"/>
          <w:sz w:val="90"/>
          <w:szCs w:val="90"/>
          <w:rtl w:val="0"/>
        </w:rPr>
        <w:t xml:space="preserve">Standard Life to launch pension fund with up to 25% private markets allocation</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bfw1glvjrd0j" w:id="1"/>
      <w:bookmarkEnd w:id="1"/>
      <w:r w:rsidDel="00000000" w:rsidR="00000000" w:rsidRPr="00000000">
        <w:rPr>
          <w:sz w:val="50"/>
          <w:szCs w:val="50"/>
          <w:rtl w:val="0"/>
        </w:rPr>
        <w:t xml:space="preserve">The default pension fund will allocate up to a quarter of its holdings in illiquid assets.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Standard Life is set to launch an alternative workplace pension default fund that will invest up to 25% in private markets.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Future Opportunities fund will provide a mix of private equity, real assets, infrastructure, private debt and venture capital alongside exposure to listed equities, fixed income, liquid alternatives and UK property.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fund will be available to workplace employers and scheme members, and will act as an alternative option to Standard Life’s £35bn Sustainable Multi Asset default strategy.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Callum Stewart, head of investment proposition development at Standard Life said: ‘The introduction of Future Opportunities aims to make investing in private markets mainstream for millions of pension savers.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‘It will provide the potential for better returns and a level of diversification not previously readily available in a pension default fund, while building on the proven blueprint of our Sustainable Multi Asset strategy.’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Stewart added that the move was a further demonstration of the firm’s support for the Mansion House Accord. Phoenix Group, which is changing its name to Standard Life next March, was a signatory to the initiative alongside 16 other pension providers. These firms agreed to invest 10% of their portfolios in private markets by 2030, with half of that amount in UK assets.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Phoenix Group and Schroders </w:t>
      </w:r>
      <w:hyperlink r:id="rId6">
        <w:r w:rsidDel="00000000" w:rsidR="00000000" w:rsidRPr="00000000">
          <w:rPr>
            <w:color w:val="416ed2"/>
            <w:sz w:val="27"/>
            <w:szCs w:val="27"/>
            <w:rtl w:val="0"/>
          </w:rPr>
          <w:t xml:space="preserve">formed</w:t>
        </w:r>
      </w:hyperlink>
      <w:r w:rsidDel="00000000" w:rsidR="00000000" w:rsidRPr="00000000">
        <w:rPr>
          <w:color w:val="1b1b1b"/>
          <w:sz w:val="27"/>
          <w:szCs w:val="27"/>
          <w:rtl w:val="0"/>
        </w:rPr>
        <w:t xml:space="preserve"> a private markets joint venture, Future Growth Capital, last year. Standard Life will draw on the expertise of this unit for the Future Opportunities fund, via two long term assets funds (LTAFs) that it runs. </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new-model-adviser/news/schroders-partners-with-phoenix-to-funnel-billions-in-pensions-to-private-markets/a2447390?utm_medium=website&amp;utm_source=citywire_nma&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