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aoriv9jz38h" w:id="0"/>
      <w:bookmarkEnd w:id="0"/>
      <w:r w:rsidDel="00000000" w:rsidR="00000000" w:rsidRPr="00000000">
        <w:rPr>
          <w:b w:val="1"/>
          <w:bCs w:val="1"/>
          <w:color w:val="1b1b1b"/>
          <w:sz w:val="90"/>
          <w:szCs w:val="90"/>
          <w:rtl w:val="0"/>
        </w:rPr>
        <w:t xml:space="preserve">Phoenix to bring Standard Life back from the ashes</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isqg99koqzda" w:id="1"/>
      <w:bookmarkEnd w:id="1"/>
      <w:r w:rsidDel="00000000" w:rsidR="00000000" w:rsidRPr="00000000">
        <w:rPr>
          <w:sz w:val="50"/>
          <w:szCs w:val="50"/>
          <w:rtl w:val="0"/>
        </w:rPr>
        <w:t xml:space="preserve">The savings and retirement group, which will adopt the ‘trusted brand’ in March, also said total cash generation fell and that it is on track to meet its 2026 targets</w:t>
      </w:r>
    </w:p>
    <w:p w:rsidR="00000000" w:rsidDel="00000000" w:rsidP="00000000" w:rsidRDefault="00000000" w:rsidRPr="00000000" w14:paraId="00000003">
      <w:pPr>
        <w:spacing w:after="320" w:before="0" w:lineRule="auto"/>
        <w:rPr>
          <w:color w:val="1b1b1b"/>
          <w:sz w:val="27"/>
          <w:szCs w:val="2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One of the UK’s largest long-term savings and retirement groups is to rebrand itself as Standard Life next year, bringing a name dropped by Aberdeen Group back to prominence.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Phoenix Group said it would change its name in March as it brings its “most trusted brand to the forefront and demonstrates our commitment to helping customers secure a better retirement”.</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Phoenix, which acquired Standard Life’s insurance business from what was </w:t>
      </w:r>
      <w:hyperlink r:id="rId6">
        <w:r w:rsidDel="00000000" w:rsidR="00000000" w:rsidRPr="00000000">
          <w:rPr>
            <w:color w:val="416ed2"/>
            <w:sz w:val="27"/>
            <w:szCs w:val="27"/>
            <w:rtl w:val="0"/>
          </w:rPr>
          <w:t xml:space="preserve">Standard Life Aberdeen</w:t>
        </w:r>
      </w:hyperlink>
      <w:r w:rsidDel="00000000" w:rsidR="00000000" w:rsidRPr="00000000">
        <w:rPr>
          <w:color w:val="1b1b1b"/>
          <w:sz w:val="27"/>
          <w:szCs w:val="27"/>
          <w:rtl w:val="0"/>
        </w:rPr>
        <w:t xml:space="preserve"> in 2018, also reported that total cash generation, an important gauge of future profits, fell 17 per cent to £784 million in the six months to the end of June from £950 million in the same period last year. It said the drop was the result of the timing of “capital actions”.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Confirmation of the change in name, which follows months of speculation over a rebranding exercise, came as Phoenix said that it remained on track to meet its 2026 financial targets. Shares in the business fell 7.6 per cent, or 51p, to 619p by Monday’s close.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Standard Life merged with Aberdeen in 2017 and the group changed its name to abrdn in 2021, but </w:t>
      </w:r>
      <w:hyperlink r:id="rId7">
        <w:r w:rsidDel="00000000" w:rsidR="00000000" w:rsidRPr="00000000">
          <w:rPr>
            <w:color w:val="416ed2"/>
            <w:sz w:val="27"/>
            <w:szCs w:val="27"/>
            <w:rtl w:val="0"/>
          </w:rPr>
          <w:t xml:space="preserve">reversed the widely derided move this year</w:t>
        </w:r>
      </w:hyperlink>
      <w:r w:rsidDel="00000000" w:rsidR="00000000" w:rsidRPr="00000000">
        <w:rPr>
          <w:color w:val="1b1b1b"/>
          <w:sz w:val="27"/>
          <w:szCs w:val="27"/>
          <w:rtl w:val="0"/>
        </w:rPr>
        <w:t xml:space="preserve"> to change it back to Aberdeen Group. </w:t>
      </w:r>
    </w:p>
    <w:p w:rsidR="00000000" w:rsidDel="00000000" w:rsidP="00000000" w:rsidRDefault="00000000" w:rsidRPr="00000000" w14:paraId="00000009">
      <w:pPr>
        <w:spacing w:after="280" w:before="280" w:lineRule="auto"/>
        <w:rPr>
          <w:b w:val="1"/>
          <w:bCs w:val="1"/>
          <w:color w:val="416ed2"/>
          <w:sz w:val="27"/>
          <w:szCs w:val="27"/>
        </w:rPr>
      </w:pPr>
      <w:r w:rsidDel="00000000" w:rsidR="00000000" w:rsidRPr="00000000">
        <w:rPr>
          <w:color w:val="1b1b1b"/>
          <w:sz w:val="27"/>
          <w:szCs w:val="27"/>
          <w:rtl w:val="0"/>
        </w:rPr>
        <w:t xml:space="preserve">In its results for the six months to the end of June, Phoenix also reported a 25 per cent rise in first-half adjusted operating profit, from £360 million in the corresponding last year to £451 million. This was helped by strong growth in its retirement solutions business, which benefited from asset trading and cost efficiencies in pensions and savings.</w:t>
      </w:r>
      <w:r w:rsidDel="00000000" w:rsidR="00000000" w:rsidRPr="00000000">
        <w:rPr>
          <w:rtl w:val="0"/>
        </w:rPr>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loss after tax was £156 million, 76 per cent narrower than the £646 million loss recorded in the same period last year. The FTSE 100 group said the loss reflected “accounting volatility’’ and was the result of what it called “adverse economic variances of £275 million, predominantly driven by rising equity markets, which reflect the known consequence of the group’s hedging programme”.</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Phoenix has about 12 million customers — about one in five UK adults — and more than £295 billion in assets under administration. Operating cash generation, which excludes one-off events, rose by 9 per cent to £705 million.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Analysts from RBC Europe said Phoenix had “delivered a good operating performance” over the first half with operating cash generation and operating profits ahead of market expectations. </w:t>
      </w:r>
    </w:p>
    <w:p w:rsidR="00000000" w:rsidDel="00000000" w:rsidP="00000000" w:rsidRDefault="00000000" w:rsidRPr="00000000" w14:paraId="0000000D">
      <w:pPr>
        <w:numPr>
          <w:ilvl w:val="0"/>
          <w:numId w:val="1"/>
        </w:numPr>
        <w:spacing w:after="280" w:before="280" w:lineRule="auto"/>
        <w:ind w:left="720" w:hanging="360"/>
      </w:pPr>
      <w:hyperlink r:id="rId8">
        <w:r w:rsidDel="00000000" w:rsidR="00000000" w:rsidRPr="00000000">
          <w:rPr>
            <w:b w:val="1"/>
            <w:bCs w:val="1"/>
            <w:color w:val="416ed2"/>
            <w:sz w:val="27"/>
            <w:szCs w:val="27"/>
            <w:rtl w:val="0"/>
          </w:rPr>
          <w:t xml:space="preserve">Andy Briggs: ‘Only one in seven people are saving enough for a decent retirement’</w:t>
        </w:r>
      </w:hyperlink>
      <w:r w:rsidDel="00000000" w:rsidR="00000000" w:rsidRPr="00000000">
        <w:rPr>
          <w:rtl w:val="0"/>
        </w:rPr>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Phoenix hopes to benefit from regulatory and political pressure for more retirement savings to be put to work in backing the UK economy and for a boost in </w:t>
      </w:r>
      <w:hyperlink r:id="rId9">
        <w:r w:rsidDel="00000000" w:rsidR="00000000" w:rsidRPr="00000000">
          <w:rPr>
            <w:color w:val="416ed2"/>
            <w:sz w:val="27"/>
            <w:szCs w:val="27"/>
            <w:rtl w:val="0"/>
          </w:rPr>
          <w:t xml:space="preserve">retirement savings</w:t>
        </w:r>
      </w:hyperlink>
      <w:r w:rsidDel="00000000" w:rsidR="00000000" w:rsidRPr="00000000">
        <w:rPr>
          <w:color w:val="1b1b1b"/>
          <w:sz w:val="27"/>
          <w:szCs w:val="27"/>
          <w:rtl w:val="0"/>
        </w:rPr>
        <w:t xml:space="preserve"> overall.</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“With only 14 per cent of people on track for the retirement they require, we continue to advocate for the changes that will make the biggest difference to our customers, and in this regard I am really encouraged by recent regulatory and political proposals that will support better retirement outcomes,” Andy Briggs, its chief executive, said.</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group said it had stepped up a cost savings programme, hoping for full-year savings of about £160 million, after it achieved £100 million in cuts over the first half.</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Briggs added that the name change would help with its objective to “simplify our business. It unifies our colleagues and strengthens our employer brand. It also reduces duplication and costs and it supports our organic growth strategy.”</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Nick Sherrard, of Label Sessions, a branding consultancy, said: “The original move to acquire the Standard Life brand from what is now Aberdeen, though, looks like an incredible bargain.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“Brand recognition and trust are both very hard and hugely expensive for a company to build, but Phoenix has managed to become Standard Life simply and inexpensively. The defenestration of the brand that was Standard Life and is now Aberdeen is going to be a business school case study for many years to come.”</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times.com/financial-partners/pensions-comparison/article/a-simple-guide-to-pensions-ggmrr0ktv" TargetMode="External"/><Relationship Id="rId5" Type="http://schemas.openxmlformats.org/officeDocument/2006/relationships/styles" Target="styles.xml"/><Relationship Id="rId6" Type="http://schemas.openxmlformats.org/officeDocument/2006/relationships/hyperlink" Target="https://www.thetimes.com/business-money/companies/article/should-you-buy-shares-in-aberdeen-right-now-gljbcj363" TargetMode="External"/><Relationship Id="rId7" Type="http://schemas.openxmlformats.org/officeDocument/2006/relationships/hyperlink" Target="https://www.thetimes.com/business/companies-markets/article/vowel-surgery-cures-abrdn-anguish-t03q2wfbf" TargetMode="External"/><Relationship Id="rId8" Type="http://schemas.openxmlformats.org/officeDocument/2006/relationships/hyperlink" Target="https://www.thetimes.com/article/andy-briggs-only-one-in-seven-people-are-saving-enough-for-a-decent-retirement-6vvkn59x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