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mlnr06o38ip1" w:id="0"/>
      <w:bookmarkEnd w:id="0"/>
      <w:r w:rsidDel="00000000" w:rsidR="00000000" w:rsidRPr="00000000">
        <w:rPr>
          <w:b w:val="1"/>
          <w:bCs w:val="1"/>
          <w:color w:val="1b1b1b"/>
          <w:sz w:val="90"/>
          <w:szCs w:val="90"/>
          <w:rtl w:val="0"/>
        </w:rPr>
        <w:t xml:space="preserve">Is this a good time to buy shares in Phoenix Group?</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vlxozr9psgau" w:id="1"/>
      <w:bookmarkEnd w:id="1"/>
      <w:r w:rsidDel="00000000" w:rsidR="00000000" w:rsidRPr="00000000">
        <w:rPr>
          <w:sz w:val="50"/>
          <w:szCs w:val="50"/>
          <w:rtl w:val="0"/>
        </w:rPr>
        <w:t xml:space="preserve">After changes in the budget to salary sacrifice pension contributions, this provider could prove resilient — despite a risk from US-based equities</w:t>
      </w:r>
    </w:p>
    <w:p w:rsidR="00000000" w:rsidDel="00000000" w:rsidP="00000000" w:rsidRDefault="00000000" w:rsidRPr="00000000" w14:paraId="00000003">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4">
      <w:pPr>
        <w:rPr>
          <w:color w:val="1b1b1b"/>
          <w:sz w:val="27"/>
          <w:szCs w:val="27"/>
        </w:rPr>
      </w:pPr>
      <w:r w:rsidDel="00000000" w:rsidR="00000000" w:rsidRPr="00000000">
        <w:rPr>
          <w:rtl w:val="0"/>
        </w:rPr>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While the stock market’s judgment is not infallible, there is more than meets the eye to the fact that shares in Phoenix Group have been at a consistently higher level since last week’s budget.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On the face of it the chancellor, Rachel Reeves, had bad news for Phoenix and other pension providers. She capped the national insurance contribution (NIC) relief on salary-sacrificed pension premiums at £2,000 per employee per year. Anything over that would now attract the same NIC tax as the rest of a worker’s pay. </w:t>
      </w:r>
    </w:p>
    <w:p w:rsidR="00000000" w:rsidDel="00000000" w:rsidP="00000000" w:rsidRDefault="00000000" w:rsidRPr="00000000" w14:paraId="00000007">
      <w:pPr>
        <w:spacing w:after="280" w:before="280" w:lineRule="auto"/>
        <w:rPr>
          <w:b w:val="1"/>
          <w:bCs w:val="1"/>
          <w:color w:val="416ed2"/>
          <w:sz w:val="27"/>
          <w:szCs w:val="27"/>
        </w:rPr>
      </w:pPr>
      <w:r w:rsidDel="00000000" w:rsidR="00000000" w:rsidRPr="00000000">
        <w:rPr>
          <w:color w:val="1b1b1b"/>
          <w:sz w:val="27"/>
          <w:szCs w:val="27"/>
          <w:rtl w:val="0"/>
        </w:rPr>
        <w:t xml:space="preserve">This may discourage some higher paid staff from making those extra contributions, denying Phoenix profitable income. The chief executive, Andy Briggs, warned that it would make it harder for individuals to achieve financial security in retirement. And the increased administrative complexity for employers would do nothing to enhance the appeal of running these schemes.</w:t>
      </w:r>
      <w:r w:rsidDel="00000000" w:rsidR="00000000" w:rsidRPr="00000000">
        <w:rPr>
          <w:rtl w:val="0"/>
        </w:rPr>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But the impact on the Phoenix bottom line will be limited. The change will not take effect until April 2029, giving the pensions sector plenty of time to adapt. And pension contributions, including those of more than £2,000 a year, will still be free of income tax, so that incentive will remain.</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As far as Phoenix shares are concerned, after the budget the salary sacrifice issue has been overshadowed by Reeves’s measures as a whole, which have been viewed in the City as non-inflationary and creating more fiscal headroom than expected. That has fuelled the belief that the Bank of England will continue cutting interest rates. The consequent rise in gilts (UK government bonds) has improved the value of Phoenix’s long-dated liabilities, a key factor in the value of its shares.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Such abstruse calculations are part and parcel of analysing this company, which began in its modern form 22 years ago, buying and managing undervalued life funds that had been closed to new business. After the low-hanging fruit had been snapped up and there were no longer so many funds to buy, the business evolved into a broad-based retirement savings and income business with four arms.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first, pensions and savings, manages defined-contribution workplace pension schemes. The second, retirement solutions, handles defined-benefit schemes and annuities. Thirdly, with-profits manages legacy pensions and savings policies. Finally, Europe and “other” covers Ireland and Germany.</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seeds of radical change were sown seven years ago, when Phoenix </w:t>
      </w:r>
      <w:hyperlink r:id="rId6">
        <w:r w:rsidDel="00000000" w:rsidR="00000000" w:rsidRPr="00000000">
          <w:rPr>
            <w:color w:val="416ed2"/>
            <w:sz w:val="27"/>
            <w:szCs w:val="27"/>
            <w:rtl w:val="0"/>
          </w:rPr>
          <w:t xml:space="preserve">bought the venerable Standard Life</w:t>
        </w:r>
      </w:hyperlink>
      <w:r w:rsidDel="00000000" w:rsidR="00000000" w:rsidRPr="00000000">
        <w:rPr>
          <w:color w:val="1b1b1b"/>
          <w:sz w:val="27"/>
          <w:szCs w:val="27"/>
          <w:rtl w:val="0"/>
        </w:rPr>
        <w:t xml:space="preserve">, which houses the first two divisions as the future growth engines. This will be formally recognised in March, when the group’s name will change from Phoenix to Standard Life. The legacy operations will provide a predictable and efficient cash stream to fund dividends and reinvestment.</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group is capitalising on a bulk purchase annuity boom arising from relatively high interest rates. That has improved pension scheme funding, leading to record demand for insurers to take over defined-benefit liabilities.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Regulatory reforms have helped. Britain’s shift to Solvency UK has reduced the required risk margin for long-term liabilities, releasing capital that Phoenix can deploy into new business or cutting debt. Analysts at Panmure Liberum predict that the gap between uncommitted cash and expected dividends will expand, throwing up a bonanza of excess cash by 2027.</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Business newsletter</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This is timely, as the balance sheet is still strained by writing down the value of past intangible asset purchases, such as brands or customer lists. These are non-cash costs that do not affect the company’s ability to pay dividends, though they may reduce shareholder equity. And 60 per cent of the equities Phoenix manages are based in the United States, therefore exposed to a revaluation of technology shares.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“We recognise the specific risks associated with US equities, such as tariff measures and the concentration in large tech stocks,” Callum Stewart, head of investment proposition at Standard Life, said.</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But ultimately the investment case for Phoenix rests on its status as a reliable high-income stock. That is what distinguishes it from rivals such as Legal &amp; General. With a forward dividend yield estimated at between 9.5 per cent and 10.5 per cent, it offers one of the highest yields on the FTSE 100. And the management is committed to a progressive dividend policy, recently validated by exceeding cash generation targets, delivering more than £2 billion in 2023.</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Aside from the salary sacrifice issue, which may be overtaken by other events by the time it takes effect, the question is how much future cash goes into new business opportunities.</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companies-markets/article/phoenix-to-bring-standard-life-back-from-the-ashes-90z2lbn0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