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Bdr>
          <w:top w:color="e5e7eb" w:space="0" w:sz="0" w:val="none"/>
          <w:left w:color="e5e7eb" w:space="0" w:sz="0" w:val="none"/>
          <w:bottom w:color="e5e7eb" w:space="0" w:sz="0" w:val="none"/>
          <w:right w:color="e5e7eb" w:space="0" w:sz="0" w:val="none"/>
          <w:between w:color="e5e7eb" w:space="0" w:sz="0" w:val="none"/>
        </w:pBdr>
        <w:spacing w:after="0" w:before="0" w:lineRule="auto"/>
        <w:rPr>
          <w:b w:val="1"/>
          <w:bCs w:val="1"/>
          <w:sz w:val="48"/>
          <w:szCs w:val="48"/>
        </w:rPr>
      </w:pPr>
      <w:bookmarkStart w:colFirst="0" w:colLast="0" w:name="_sudxrg9tc0in" w:id="0"/>
      <w:bookmarkEnd w:id="0"/>
      <w:r w:rsidDel="00000000" w:rsidR="00000000" w:rsidRPr="00000000">
        <w:rPr>
          <w:b w:val="1"/>
          <w:bCs w:val="1"/>
          <w:sz w:val="48"/>
          <w:szCs w:val="48"/>
          <w:rtl w:val="0"/>
        </w:rPr>
        <w:t xml:space="preserve">More2life integrates Standard Life Home Finance’s Horizon range into offering </w:t>
      </w:r>
    </w:p>
    <w:p w:rsidR="00000000" w:rsidDel="00000000" w:rsidP="00000000" w:rsidRDefault="00000000" w:rsidRPr="00000000" w14:paraId="00000002">
      <w:pPr>
        <w:rPr>
          <w:b w:val="1"/>
          <w:bCs w:val="1"/>
          <w:sz w:val="48"/>
          <w:szCs w:val="48"/>
        </w:rPr>
      </w:pPr>
      <w:r w:rsidDel="00000000" w:rsidR="00000000" w:rsidRPr="00000000">
        <w:rPr>
          <w:rtl w:val="0"/>
        </w:rPr>
      </w:r>
    </w:p>
    <w:p w:rsidR="00000000" w:rsidDel="00000000" w:rsidP="00000000" w:rsidRDefault="00000000" w:rsidRPr="00000000" w14:paraId="00000003">
      <w:pPr>
        <w:rPr>
          <w:b w:val="1"/>
          <w:bCs w:val="1"/>
          <w:sz w:val="24"/>
          <w:szCs w:val="24"/>
        </w:rPr>
      </w:pPr>
      <w:r w:rsidDel="00000000" w:rsidR="00000000" w:rsidRPr="00000000">
        <w:rPr>
          <w:b w:val="1"/>
          <w:bCs w:val="1"/>
          <w:sz w:val="24"/>
          <w:szCs w:val="24"/>
          <w:rtl w:val="0"/>
        </w:rPr>
        <w:t xml:space="preserve">More2life has expanded its later life mortgage offering with the introduction of Standard Life Home Finance’s Horizon product with immediate effect. </w:t>
      </w:r>
    </w:p>
    <w:p w:rsidR="00000000" w:rsidDel="00000000" w:rsidP="00000000" w:rsidRDefault="00000000" w:rsidRPr="00000000" w14:paraId="00000004">
      <w:pPr>
        <w:pBdr>
          <w:top w:color="e5e7eb" w:space="0" w:sz="0" w:val="none"/>
          <w:left w:color="e5e7eb" w:space="0" w:sz="0" w:val="none"/>
          <w:bottom w:color="e5e7eb" w:space="0" w:sz="0" w:val="none"/>
          <w:right w:color="e5e7eb" w:space="0" w:sz="0" w:val="none"/>
          <w:between w:color="e5e7eb" w:space="0" w:sz="0" w:val="none"/>
        </w:pBdr>
        <w:spacing w:after="160" w:lineRule="auto"/>
        <w:rPr>
          <w:rFonts w:ascii="Lora" w:cs="Lora" w:eastAsia="Lora" w:hAnsi="Lora"/>
          <w:sz w:val="24"/>
          <w:szCs w:val="24"/>
        </w:rPr>
      </w:pPr>
      <w:r w:rsidDel="00000000" w:rsidR="00000000" w:rsidRPr="00000000">
        <w:rPr>
          <w:rFonts w:ascii="Lora" w:cs="Lora" w:eastAsia="Lora" w:hAnsi="Lora"/>
          <w:sz w:val="24"/>
          <w:szCs w:val="24"/>
          <w:rtl w:val="0"/>
        </w:rPr>
        <w:t xml:space="preserve">More2life acquired the Horizon range after </w:t>
      </w:r>
      <w:hyperlink r:id="rId6">
        <w:r w:rsidDel="00000000" w:rsidR="00000000" w:rsidRPr="00000000">
          <w:rPr>
            <w:rFonts w:ascii="Lora" w:cs="Lora" w:eastAsia="Lora" w:hAnsi="Lora"/>
            <w:b w:val="1"/>
            <w:bCs w:val="1"/>
            <w:color w:val="1155cc"/>
            <w:sz w:val="24"/>
            <w:szCs w:val="24"/>
            <w:u w:val="single"/>
            <w:rtl w:val="0"/>
          </w:rPr>
          <w:t xml:space="preserve">Standard Life Home Finance exited the equity release market</w:t>
        </w:r>
      </w:hyperlink>
      <w:r w:rsidDel="00000000" w:rsidR="00000000" w:rsidRPr="00000000">
        <w:rPr>
          <w:rFonts w:ascii="Lora" w:cs="Lora" w:eastAsia="Lora" w:hAnsi="Lora"/>
          <w:sz w:val="24"/>
          <w:szCs w:val="24"/>
          <w:rtl w:val="0"/>
        </w:rPr>
        <w:t xml:space="preserve"> earlier this year. </w:t>
      </w:r>
    </w:p>
    <w:p w:rsidR="00000000" w:rsidDel="00000000" w:rsidP="00000000" w:rsidRDefault="00000000" w:rsidRPr="00000000" w14:paraId="00000005">
      <w:pPr>
        <w:pBdr>
          <w:top w:color="e5e7eb" w:space="0" w:sz="0" w:val="none"/>
          <w:left w:color="e5e7eb" w:space="0" w:sz="0" w:val="none"/>
          <w:bottom w:color="e5e7eb" w:space="0" w:sz="0" w:val="none"/>
          <w:right w:color="e5e7eb" w:space="0" w:sz="0" w:val="none"/>
          <w:between w:color="e5e7eb" w:space="0" w:sz="0" w:val="none"/>
        </w:pBdr>
        <w:spacing w:after="160" w:lineRule="auto"/>
        <w:rPr>
          <w:rFonts w:ascii="Lora" w:cs="Lora" w:eastAsia="Lora" w:hAnsi="Lora"/>
          <w:sz w:val="24"/>
          <w:szCs w:val="24"/>
        </w:rPr>
      </w:pPr>
      <w:r w:rsidDel="00000000" w:rsidR="00000000" w:rsidRPr="00000000">
        <w:rPr>
          <w:rFonts w:ascii="Lora" w:cs="Lora" w:eastAsia="Lora" w:hAnsi="Lora"/>
          <w:sz w:val="24"/>
          <w:szCs w:val="24"/>
          <w:rtl w:val="0"/>
        </w:rPr>
        <w:t xml:space="preserve">The products include its Horizon plan, which offers fee-free and fee-paying options, as well as the Horizon Interest Reward range, with five-, 10- and 15-year repayment periods for borrowers who wish to make monthly interest payments. </w:t>
      </w:r>
    </w:p>
    <w:p w:rsidR="00000000" w:rsidDel="00000000" w:rsidP="00000000" w:rsidRDefault="00000000" w:rsidRPr="00000000" w14:paraId="00000006">
      <w:pPr>
        <w:pBdr>
          <w:top w:color="e5e7eb" w:space="0" w:sz="0" w:val="none"/>
          <w:left w:color="e5e7eb" w:space="0" w:sz="0" w:val="none"/>
          <w:bottom w:color="e5e7eb" w:space="0" w:sz="0" w:val="none"/>
          <w:right w:color="e5e7eb" w:space="0" w:sz="0" w:val="none"/>
          <w:between w:color="e5e7eb" w:space="0" w:sz="0" w:val="none"/>
        </w:pBdr>
        <w:spacing w:after="160" w:lineRule="auto"/>
        <w:rPr>
          <w:rFonts w:ascii="Lora" w:cs="Lora" w:eastAsia="Lora" w:hAnsi="Lora"/>
          <w:sz w:val="24"/>
          <w:szCs w:val="24"/>
        </w:rPr>
      </w:pPr>
      <w:r w:rsidDel="00000000" w:rsidR="00000000" w:rsidRPr="00000000">
        <w:rPr>
          <w:rFonts w:ascii="Lora" w:cs="Lora" w:eastAsia="Lora" w:hAnsi="Lora"/>
          <w:sz w:val="24"/>
          <w:szCs w:val="24"/>
          <w:rtl w:val="0"/>
        </w:rPr>
        <w:t xml:space="preserve">The offering will complement More2life’s existing options, including its Flexi, Flexi Interest Reward, Maxi, Maxi Zero ERC, Tailored and Omni products. The lender said new products would also be launched soon. </w:t>
      </w:r>
    </w:p>
    <w:p w:rsidR="00000000" w:rsidDel="00000000" w:rsidP="00000000" w:rsidRDefault="00000000" w:rsidRPr="00000000" w14:paraId="00000007">
      <w:pPr>
        <w:pBdr>
          <w:top w:color="e5e7eb" w:space="0" w:sz="0" w:val="none"/>
          <w:left w:color="e5e7eb" w:space="0" w:sz="0" w:val="none"/>
          <w:bottom w:color="e5e7eb" w:space="0" w:sz="0" w:val="none"/>
          <w:right w:color="e5e7eb" w:space="0" w:sz="0" w:val="none"/>
          <w:between w:color="e5e7eb" w:space="0" w:sz="0" w:val="none"/>
        </w:pBdr>
        <w:spacing w:after="160" w:lineRule="auto"/>
        <w:rPr>
          <w:rFonts w:ascii="Lora" w:cs="Lora" w:eastAsia="Lora" w:hAnsi="Lora"/>
          <w:sz w:val="24"/>
          <w:szCs w:val="24"/>
        </w:rPr>
      </w:pPr>
      <w:r w:rsidDel="00000000" w:rsidR="00000000" w:rsidRPr="00000000">
        <w:rPr>
          <w:rFonts w:ascii="Lora" w:cs="Lora" w:eastAsia="Lora" w:hAnsi="Lora"/>
          <w:sz w:val="24"/>
          <w:szCs w:val="24"/>
          <w:rtl w:val="0"/>
        </w:rPr>
        <w:t xml:space="preserve">The Horizon and Horizon Interest Reward applications will be submitted and managed by More2life, and the features of the products will remain the same. </w:t>
      </w:r>
    </w:p>
    <w:p w:rsidR="00000000" w:rsidDel="00000000" w:rsidP="00000000" w:rsidRDefault="00000000" w:rsidRPr="00000000" w14:paraId="00000008">
      <w:pPr>
        <w:pBdr>
          <w:top w:color="e5e7eb" w:space="0" w:sz="0" w:val="none"/>
          <w:left w:color="e5e7eb" w:space="0" w:sz="0" w:val="none"/>
          <w:bottom w:color="e5e7eb" w:space="0" w:sz="0" w:val="none"/>
          <w:right w:color="e5e7eb" w:space="0" w:sz="0" w:val="none"/>
          <w:between w:color="e5e7eb" w:space="0" w:sz="0" w:val="none"/>
        </w:pBdr>
        <w:spacing w:after="160" w:lineRule="auto"/>
        <w:rPr>
          <w:rFonts w:ascii="Lora" w:cs="Lora" w:eastAsia="Lora" w:hAnsi="Lora"/>
          <w:sz w:val="24"/>
          <w:szCs w:val="24"/>
        </w:rPr>
      </w:pPr>
      <w:r w:rsidDel="00000000" w:rsidR="00000000" w:rsidRPr="00000000">
        <w:rPr>
          <w:rFonts w:ascii="Lora" w:cs="Lora" w:eastAsia="Lora" w:hAnsi="Lora"/>
          <w:sz w:val="24"/>
          <w:szCs w:val="24"/>
          <w:rtl w:val="0"/>
        </w:rPr>
        <w:t xml:space="preserve">More2life said that in the coming weeks, it will guide advisers through the integration, such as how to access the range through Fastpath and sourcing systems. </w:t>
      </w:r>
    </w:p>
    <w:p w:rsidR="00000000" w:rsidDel="00000000" w:rsidP="00000000" w:rsidRDefault="00000000" w:rsidRPr="00000000" w14:paraId="00000009">
      <w:pPr>
        <w:rPr>
          <w:rFonts w:ascii="Lora" w:cs="Lora" w:eastAsia="Lora" w:hAnsi="Lora"/>
          <w:sz w:val="24"/>
          <w:szCs w:val="24"/>
        </w:rPr>
      </w:pPr>
      <w:r w:rsidDel="00000000" w:rsidR="00000000" w:rsidRPr="00000000">
        <w:fldChar w:fldCharType="begin"/>
        <w:instrText xml:space="preserve"> HYPERLINK "https://www.mortgagesolutions.co.uk/sponsored-content/bmsolutions-co-uk/conversations-you-need-to-have-with-landlords-before-the-renters-rights-act/" </w:instrText>
        <w:fldChar w:fldCharType="separate"/>
      </w:r>
      <w:r w:rsidDel="00000000" w:rsidR="00000000" w:rsidRPr="00000000">
        <w:rPr>
          <w:rtl w:val="0"/>
        </w:rPr>
      </w:r>
    </w:p>
    <w:p w:rsidR="00000000" w:rsidDel="00000000" w:rsidP="00000000" w:rsidRDefault="00000000" w:rsidRPr="00000000" w14:paraId="0000000A">
      <w:pPr>
        <w:pBdr>
          <w:top w:color="e5e7eb" w:space="0" w:sz="0" w:val="none"/>
          <w:left w:color="e5e7eb" w:space="0" w:sz="0" w:val="none"/>
          <w:bottom w:color="e5e7eb" w:space="0" w:sz="0" w:val="none"/>
          <w:right w:color="e5e7eb" w:space="0" w:sz="0" w:val="none"/>
          <w:between w:color="e5e7eb" w:space="0" w:sz="0" w:val="none"/>
        </w:pBdr>
        <w:spacing w:after="160" w:lineRule="auto"/>
        <w:rPr>
          <w:rFonts w:ascii="Lora" w:cs="Lora" w:eastAsia="Lora" w:hAnsi="Lora"/>
          <w:sz w:val="24"/>
          <w:szCs w:val="24"/>
        </w:rPr>
      </w:pPr>
      <w:r w:rsidDel="00000000" w:rsidR="00000000" w:rsidRPr="00000000">
        <w:fldChar w:fldCharType="end"/>
      </w:r>
      <w:r w:rsidDel="00000000" w:rsidR="00000000" w:rsidRPr="00000000">
        <w:rPr>
          <w:rFonts w:ascii="Lora" w:cs="Lora" w:eastAsia="Lora" w:hAnsi="Lora"/>
          <w:sz w:val="24"/>
          <w:szCs w:val="24"/>
          <w:rtl w:val="0"/>
        </w:rPr>
        <w:t xml:space="preserve">Dave Harris, CEO of More2life, said: “More2life is committed to the later life lending sector for the long term, and this integration of Horizon and Horizon Interest Reward reaffirms that commitment, as well as our position as market leaders. </w:t>
      </w:r>
    </w:p>
    <w:p w:rsidR="00000000" w:rsidDel="00000000" w:rsidP="00000000" w:rsidRDefault="00000000" w:rsidRPr="00000000" w14:paraId="0000000B">
      <w:pPr>
        <w:pBdr>
          <w:top w:color="e5e7eb" w:space="0" w:sz="0" w:val="none"/>
          <w:left w:color="e5e7eb" w:space="0" w:sz="0" w:val="none"/>
          <w:bottom w:color="e5e7eb" w:space="0" w:sz="0" w:val="none"/>
          <w:right w:color="e5e7eb" w:space="0" w:sz="0" w:val="none"/>
          <w:between w:color="e5e7eb" w:space="0" w:sz="0" w:val="none"/>
        </w:pBdr>
        <w:spacing w:after="160" w:lineRule="auto"/>
        <w:rPr>
          <w:rFonts w:ascii="Lora" w:cs="Lora" w:eastAsia="Lora" w:hAnsi="Lora"/>
          <w:sz w:val="24"/>
          <w:szCs w:val="24"/>
        </w:rPr>
      </w:pPr>
      <w:r w:rsidDel="00000000" w:rsidR="00000000" w:rsidRPr="00000000">
        <w:rPr>
          <w:rFonts w:ascii="Lora" w:cs="Lora" w:eastAsia="Lora" w:hAnsi="Lora"/>
          <w:sz w:val="24"/>
          <w:szCs w:val="24"/>
          <w:rtl w:val="0"/>
        </w:rPr>
        <w:t xml:space="preserve">“Bringing Horizon into our product suite family will provide advisers with even more choice from More2life, meaning more ways to support their older homeowner clients in achieving their goals, and more solutions for the unique circumstances and scenarios advisers are faced with.” </w:t>
      </w:r>
    </w:p>
    <w:p w:rsidR="00000000" w:rsidDel="00000000" w:rsidP="00000000" w:rsidRDefault="00000000" w:rsidRPr="00000000" w14:paraId="0000000C">
      <w:pPr>
        <w:pBdr>
          <w:top w:color="e5e7eb" w:space="0" w:sz="0" w:val="none"/>
          <w:left w:color="e5e7eb" w:space="0" w:sz="0" w:val="none"/>
          <w:bottom w:color="e5e7eb" w:space="0" w:sz="0" w:val="none"/>
          <w:right w:color="e5e7eb" w:space="0" w:sz="0" w:val="none"/>
          <w:between w:color="e5e7eb" w:space="0" w:sz="0" w:val="none"/>
        </w:pBdr>
        <w:spacing w:after="160" w:lineRule="auto"/>
        <w:rPr>
          <w:rFonts w:ascii="Lora" w:cs="Lora" w:eastAsia="Lora" w:hAnsi="Lora"/>
          <w:sz w:val="24"/>
          <w:szCs w:val="24"/>
        </w:rPr>
      </w:pPr>
      <w:r w:rsidDel="00000000" w:rsidR="00000000" w:rsidRPr="00000000">
        <w:rPr>
          <w:rFonts w:ascii="Lora" w:cs="Lora" w:eastAsia="Lora" w:hAnsi="Lora"/>
          <w:sz w:val="24"/>
          <w:szCs w:val="24"/>
          <w:rtl w:val="0"/>
        </w:rPr>
        <w:t xml:space="preserve">Harris added: “More2life is built around helping advisers succeed, with smart processes, dedicated support and tools [that] make the job easier. We will continue to invest significantly to support advisers, and help their clients access the solutions to ensure they make more of their later life.” </w:t>
      </w:r>
    </w:p>
    <w:p w:rsidR="00000000" w:rsidDel="00000000" w:rsidP="00000000" w:rsidRDefault="00000000" w:rsidRPr="00000000" w14:paraId="0000000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mortgagesolutions.co.uk/news/2025/06/09/standard-life-home-finance-to-exit-market-and-transfer-range-to-more2lif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ora-regular.ttf"/><Relationship Id="rId2" Type="http://schemas.openxmlformats.org/officeDocument/2006/relationships/font" Target="fonts/Lora-bold.ttf"/><Relationship Id="rId3" Type="http://schemas.openxmlformats.org/officeDocument/2006/relationships/font" Target="fonts/Lora-italic.ttf"/><Relationship Id="rId4" Type="http://schemas.openxmlformats.org/officeDocument/2006/relationships/font" Target="fonts/Lor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