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po4qtrxyup9m" w:id="0"/>
      <w:bookmarkEnd w:id="0"/>
      <w:r w:rsidDel="00000000" w:rsidR="00000000" w:rsidRPr="00000000">
        <w:rPr>
          <w:b w:val="1"/>
          <w:bCs w:val="1"/>
          <w:color w:val="1b1b1b"/>
          <w:sz w:val="90"/>
          <w:szCs w:val="90"/>
          <w:rtl w:val="0"/>
        </w:rPr>
        <w:t xml:space="preserve">Aviva unveils wealth push as platform flows reach £4.6bn in 2025</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50"/>
          <w:szCs w:val="50"/>
        </w:rPr>
      </w:pPr>
      <w:bookmarkStart w:colFirst="0" w:colLast="0" w:name="_hipquz6s82mp" w:id="1"/>
      <w:bookmarkEnd w:id="1"/>
      <w:r w:rsidDel="00000000" w:rsidR="00000000" w:rsidRPr="00000000">
        <w:rPr>
          <w:sz w:val="50"/>
          <w:szCs w:val="50"/>
          <w:rtl w:val="0"/>
        </w:rPr>
        <w:t xml:space="preserve">Aviva’s total wealth arm, which includes its workplace pension, platform and advice arm saw operating profit rise 36% to £175m.</w:t>
      </w:r>
    </w:p>
    <w:p w:rsidR="00000000" w:rsidDel="00000000" w:rsidP="00000000" w:rsidRDefault="00000000" w:rsidRPr="00000000" w14:paraId="00000006">
      <w:pPr>
        <w:spacing w:after="280" w:before="280" w:lineRule="auto"/>
        <w:rPr>
          <w:color w:val="1b1b1b"/>
          <w:sz w:val="27"/>
          <w:szCs w:val="27"/>
        </w:rPr>
      </w:pPr>
      <w:hyperlink r:id="rId6">
        <w:r w:rsidDel="00000000" w:rsidR="00000000" w:rsidRPr="00000000">
          <w:rPr>
            <w:color w:val="416ed2"/>
            <w:sz w:val="27"/>
            <w:szCs w:val="27"/>
            <w:rtl w:val="0"/>
          </w:rPr>
          <w:t xml:space="preserve">Aviva</w:t>
        </w:r>
      </w:hyperlink>
      <w:r w:rsidDel="00000000" w:rsidR="00000000" w:rsidRPr="00000000">
        <w:rPr>
          <w:color w:val="1b1b1b"/>
          <w:sz w:val="27"/>
          <w:szCs w:val="27"/>
          <w:rtl w:val="0"/>
        </w:rPr>
        <w:t xml:space="preserve"> has set its stall out on wealth as its platform net flows increased by 7% to £4.6bn in 2025.</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insurer said the platform momentum was driven by the launch of its onshore bond in the first half of the year. Assets on its adviser platform were £65bn at the end of last year.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Aviva’s total wealth arm, which includes its workplace pension, platform and advice arm saw operating profit rise 36% to £175m.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Aviva’s wealth arm also includes national IFA Succession Wealth; however few details were provided on its performance in the accounts. It also has its direct-to-consumer service which includes Wealthify, the digital wealth business it acquired in 2018.</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In the accounts Aviva said its wealth arm is an increasingly important part of its strategy.</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‘Since 2022, we have grown [our wealth] assets faster than the market,’ the insurer said in the financial statements. ‘And we’ve improved margins at the same time. In workplace, our profit margin is up by two points over the last two years, making this business a key driver of growth, and a growing contributor to our profits.’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‘We are on track for our £280m profit ambition in 2027. And the importance of wealth within our portfolio is growing. It will soon account for nearly 10% of group earnings, further increasing our share of attractive fee-based income.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Total assets in its wealth division reached £234bn, up 18%.</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Aviva saw its best year for individual annuities since the introduction of pension freedoms, it said with sales up 19% to £1.6bn. </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insurer, led by CEO Amanda Blanc, saw an overall group operating profit of £2.2bn. The group also announced a share buyback of £350m.</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Aviva’s shares were down 0.16% at 8:40am.</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itywire.com/new-model-adviser/news/company/aviva/j56?utm_medium=website&amp;utm_source=citywire_nma&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