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75tge79uypjx" w:id="0"/>
      <w:bookmarkEnd w:id="0"/>
      <w:r w:rsidDel="00000000" w:rsidR="00000000" w:rsidRPr="00000000">
        <w:rPr>
          <w:b w:val="1"/>
          <w:bCs w:val="1"/>
          <w:color w:val="1b1b1b"/>
          <w:sz w:val="90"/>
          <w:szCs w:val="90"/>
          <w:rtl w:val="0"/>
        </w:rPr>
        <w:t xml:space="preserve">viva fined £10.6m for Direct Line accounting failures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50"/>
          <w:szCs w:val="50"/>
        </w:rPr>
      </w:pPr>
      <w:bookmarkStart w:colFirst="0" w:colLast="0" w:name="_msrcnop5i8jk" w:id="1"/>
      <w:bookmarkEnd w:id="1"/>
      <w:r w:rsidDel="00000000" w:rsidR="00000000" w:rsidRPr="00000000">
        <w:rPr>
          <w:sz w:val="50"/>
          <w:szCs w:val="50"/>
          <w:rtl w:val="0"/>
        </w:rPr>
        <w:t xml:space="preserve">The insurer’s subsidiary cut its penalty in half by volunteering early information on the errors to the Prudential Regulation Authority</w:t>
      </w:r>
    </w:p>
    <w:p w:rsidR="00000000" w:rsidDel="00000000" w:rsidP="00000000" w:rsidRDefault="00000000" w:rsidRPr="00000000" w14:paraId="00000006">
      <w:pPr>
        <w:spacing w:after="320" w:before="0" w:lineRule="auto"/>
        <w:rPr>
          <w:color w:val="1b1b1b"/>
          <w:sz w:val="27"/>
          <w:szCs w:val="27"/>
        </w:rPr>
      </w:pPr>
      <w:r w:rsidDel="00000000" w:rsidR="00000000" w:rsidRPr="00000000">
        <w:rPr>
          <w:color w:val="1b1b1b"/>
          <w:sz w:val="27"/>
          <w:szCs w:val="27"/>
          <w:rtl w:val="0"/>
        </w:rPr>
        <w:t xml:space="preserve">Aviva’s Direct Line has been fined £10.6 million by the Bank of England for incorrectly overstating the strength of its balance sheet for more than a year.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Bank’s Prudential Regulation Authority (PRA) ruled that the miscalculation arose owing to “ineffective preventative and detective controls and resourcing issues” in the finance and actuarial functions of Direct Line’s primary underwriting subsidiary, UK Insurance Limited (UKI).</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Direct Line first disclosed the accounting error in 2024 as it battled to recover from a string of profit warnings. The </w:t>
      </w:r>
      <w:hyperlink r:id="rId6">
        <w:r w:rsidDel="00000000" w:rsidR="00000000" w:rsidRPr="00000000">
          <w:rPr>
            <w:color w:val="416ed2"/>
            <w:sz w:val="27"/>
            <w:szCs w:val="27"/>
            <w:rtl w:val="0"/>
          </w:rPr>
          <w:t xml:space="preserve">motor insurer</w:t>
        </w:r>
      </w:hyperlink>
      <w:r w:rsidDel="00000000" w:rsidR="00000000" w:rsidRPr="00000000">
        <w:rPr>
          <w:color w:val="1b1b1b"/>
          <w:sz w:val="27"/>
          <w:szCs w:val="27"/>
          <w:rtl w:val="0"/>
        </w:rPr>
        <w:t xml:space="preserve"> was later </w:t>
      </w:r>
      <w:hyperlink r:id="rId7">
        <w:r w:rsidDel="00000000" w:rsidR="00000000" w:rsidRPr="00000000">
          <w:rPr>
            <w:color w:val="416ed2"/>
            <w:sz w:val="27"/>
            <w:szCs w:val="27"/>
            <w:rtl w:val="0"/>
          </w:rPr>
          <w:t xml:space="preserve">taken over by its rival Aviva in a £3.7 billion deal</w:t>
        </w:r>
      </w:hyperlink>
      <w:r w:rsidDel="00000000" w:rsidR="00000000" w:rsidRPr="00000000">
        <w:rPr>
          <w:color w:val="1b1b1b"/>
          <w:sz w:val="27"/>
          <w:szCs w:val="27"/>
          <w:rtl w:val="0"/>
        </w:rPr>
        <w:t xml:space="preserve">, which completed the following year.</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rtl w:val="0"/>
        </w:rPr>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At the time of its discovery the accounting error had gone undetected for a “significant period of time”, according to the regulator, meaning that by the end of 2023 Direct Line had overstated its own funds by nearly £100 million.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As a result it incorrectly reported its solvency capital ratio as 197 per cent, when the true figure was 188 per cent, meaning it had “significantly less headroom”. Solvency ratios are a measure of insurers’ ability to absorb losses and pay future claims.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Independent consultants had previously identified concerns with “financial controls, staff capability, training and resourcing” in UKI’s finance and actuarial functions in 2022 and 2023, including teams that were “overstretched and under-resourced”, according to the PRA.</w:t>
      </w:r>
    </w:p>
    <w:p w:rsidR="00000000" w:rsidDel="00000000" w:rsidP="00000000" w:rsidRDefault="00000000" w:rsidRPr="00000000" w14:paraId="0000000E">
      <w:pPr>
        <w:spacing w:after="280" w:before="280" w:lineRule="auto"/>
        <w:rPr>
          <w:b w:val="1"/>
          <w:bCs w:val="1"/>
          <w:color w:val="416ed2"/>
          <w:sz w:val="27"/>
          <w:szCs w:val="27"/>
        </w:rPr>
      </w:pPr>
      <w:r w:rsidDel="00000000" w:rsidR="00000000" w:rsidRPr="00000000">
        <w:rPr>
          <w:color w:val="1b1b1b"/>
          <w:sz w:val="27"/>
          <w:szCs w:val="27"/>
          <w:rtl w:val="0"/>
        </w:rPr>
        <w:t xml:space="preserve">On numerous occasions staff at the subsidiary were “unable to answer” questions that would be expected in their role. There was also a “lack of knowledge of accounting concepts” and of Direct Line’s own accounting policies. </w:t>
      </w:r>
      <w:r w:rsidDel="00000000" w:rsidR="00000000" w:rsidRPr="00000000">
        <w:rPr>
          <w:rtl w:val="0"/>
        </w:rPr>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The consultants themselves also raised as an issue the company’s reliance on external consultancies for support with queries and challenges.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Pressures were further compounded by several “material” commercial transactions in 2023, including a reinsurance deal known as Project Athena, the nature of which had never been undertaken before by the company.</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PRA acknowledged that Direct Line’s senior management had notified the regulator “without delay” after discovering the issue and undertook “detailed investigations to ascertain the root cause of the error”. Several internal reviews have taken place while Aviva has committed to continuing a remediation programme.</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Direct Line’s final £10.6 million penalty was halved from about £21.3 million because of its participation in a new voluntary scheme aimed at incentivising early admission from businesses under investigation. </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The regulator’s early account scheme offers a substantial discount to firms that provide adequate early information to the PRA and became part of the Bank of England’s enforcement policy in January 2024. It is the first time the scheme has been used in a case, according to the PRA, which described it as a “landmark enforcement outcome”.</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Sam Woods, deputy governor for prudential regulation and chief executive of the PRA, said: “We rely on accurate and reliable data from firms in order to be able to supervise them effectively. This penalty reflects the importance of firms getting their prudential reporting right.</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“DLG [Direct Line Group] and Aviva’s proactive engagement with the PRA, via the early account scheme, shows how enforcement action can be more efficient when firms are open, candid and accept responsibility for failings at an early stage.”</w:t>
      </w:r>
    </w:p>
    <w:p w:rsidR="00000000" w:rsidDel="00000000" w:rsidP="00000000" w:rsidRDefault="00000000" w:rsidRPr="00000000" w14:paraId="00000016">
      <w:pPr>
        <w:spacing w:after="280" w:before="280" w:lineRule="auto"/>
        <w:rPr>
          <w:color w:val="1b1b1b"/>
          <w:sz w:val="27"/>
          <w:szCs w:val="27"/>
        </w:rPr>
      </w:pPr>
      <w:hyperlink r:id="rId8">
        <w:r w:rsidDel="00000000" w:rsidR="00000000" w:rsidRPr="00000000">
          <w:rPr>
            <w:color w:val="416ed2"/>
            <w:sz w:val="27"/>
            <w:szCs w:val="27"/>
            <w:rtl w:val="0"/>
          </w:rPr>
          <w:t xml:space="preserve">Aviva</w:t>
        </w:r>
      </w:hyperlink>
      <w:r w:rsidDel="00000000" w:rsidR="00000000" w:rsidRPr="00000000">
        <w:rPr>
          <w:color w:val="1b1b1b"/>
          <w:sz w:val="27"/>
          <w:szCs w:val="27"/>
          <w:rtl w:val="0"/>
        </w:rPr>
        <w:t xml:space="preserve"> said: “The PRA has acknowledged that DLG and, subsequent to completion of the acquisition, Aviva, have co-operated with their investigation in an exemplary manner and, as a consequence, the financial penalty has been discounted by the maximum amount possible.”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The insurer added: “Aviva was fully aware of this matter prior to agreeing the terms of the acquisition of DLG and the outcome is fully provided for in the acquisition balance sheet. The resolution of this matter has no impact on the integration of DLG into Aviva, which is proceeding well, and no impact on the expected financial benefits arising from the acquisition.”</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Shares in Aviva were broadly flat in afternoon trading, closing up 1½p, or 0.26 per cent, to 627½p.</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claims-costs-outweigh-premiums-motor-insurance-market-77nnmsj6v" TargetMode="External"/><Relationship Id="rId7" Type="http://schemas.openxmlformats.org/officeDocument/2006/relationships/hyperlink" Target="https://www.thetimes.com/business/companies-markets/article/aviva-boss-rules-out-overseas-takeovers-after-direct-line-deal-2b20mxhtl" TargetMode="External"/><Relationship Id="rId8" Type="http://schemas.openxmlformats.org/officeDocument/2006/relationships/hyperlink" Target="https://www.thetimes.com/business/companies-markets/article/aviva-will-use-ukraine-playbook-to-mitigate-impact-of-iran-war-7682cxq6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