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zh0qa4pi14ow" w:id="0"/>
      <w:bookmarkEnd w:id="0"/>
      <w:r w:rsidDel="00000000" w:rsidR="00000000" w:rsidRPr="00000000">
        <w:rPr>
          <w:b w:val="1"/>
          <w:bCs w:val="1"/>
          <w:color w:val="1b1b1b"/>
          <w:sz w:val="90"/>
          <w:szCs w:val="90"/>
          <w:rtl w:val="0"/>
        </w:rPr>
        <w:t xml:space="preserve">I’ve been an investor for decades. Here are my top fund tips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dto70hcg5kf6" w:id="1"/>
      <w:bookmarkEnd w:id="1"/>
      <w:r w:rsidDel="00000000" w:rsidR="00000000" w:rsidRPr="00000000">
        <w:rPr>
          <w:sz w:val="50"/>
          <w:szCs w:val="50"/>
          <w:rtl w:val="0"/>
        </w:rPr>
        <w:t xml:space="preserve">As the end of the tax year approaches, Ian Cowie recommends ten investments to put in your Isa and grow your wealth away from the clutches of the taxman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Here is my suggestion of ten funds — unit and investment trusts — that diminish risk by diversification and might help you to make the most of this year’s Isa allowance. Several survived the Great Depression and World War II, although the past is not necessarily a guide to the future. In addition to my ideas about shares I own, I have included tips from several experts for tax-free growth, income and capital protection.</w:t>
      </w:r>
    </w:p>
    <w:p w:rsidR="00000000" w:rsidDel="00000000" w:rsidP="00000000" w:rsidRDefault="00000000" w:rsidRPr="00000000" w14:paraId="00000008">
      <w:pPr>
        <w:pStyle w:val="Heading2"/>
        <w:keepNext w:val="0"/>
        <w:keepLines w:val="0"/>
        <w:spacing w:after="80" w:lineRule="auto"/>
        <w:rPr>
          <w:b w:val="1"/>
          <w:bCs w:val="1"/>
          <w:color w:val="1b1b1b"/>
          <w:sz w:val="49"/>
          <w:szCs w:val="49"/>
        </w:rPr>
      </w:pPr>
      <w:bookmarkStart w:colFirst="0" w:colLast="0" w:name="_xgpufmreudoo" w:id="2"/>
      <w:bookmarkEnd w:id="2"/>
      <w:r w:rsidDel="00000000" w:rsidR="00000000" w:rsidRPr="00000000">
        <w:rPr>
          <w:b w:val="1"/>
          <w:bCs w:val="1"/>
          <w:color w:val="1b1b1b"/>
          <w:sz w:val="49"/>
          <w:szCs w:val="49"/>
          <w:rtl w:val="0"/>
        </w:rPr>
        <w:t xml:space="preserve">Best of British</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b w:val="1"/>
          <w:bCs w:val="1"/>
          <w:color w:val="1b1b1b"/>
          <w:sz w:val="27"/>
          <w:szCs w:val="27"/>
          <w:rtl w:val="0"/>
        </w:rPr>
        <w:t xml:space="preserve">Temple Bar</w:t>
      </w:r>
      <w:r w:rsidDel="00000000" w:rsidR="00000000" w:rsidRPr="00000000">
        <w:rPr>
          <w:color w:val="1b1b1b"/>
          <w:sz w:val="27"/>
          <w:szCs w:val="27"/>
          <w:rtl w:val="0"/>
        </w:rPr>
        <w:t xml:space="preserve"> is a £1 billion UK equity income investment trust that was launched in 1926. It yields 4 per cent — that is, dividends expressed as a percentage of share price — after increasing these payouts by a remarkable annual average of 14 per cent over the past five years. </w:t>
        <w:br w:type="textWrapping"/>
        <w:br w:type="textWrapping"/>
        <w:t xml:space="preserve">Jason Hollands, the managing director of the online platform Bestinvest, said: “The managers focus on businesses with strong balance sheets trading below their intrinsic value. Top 10 holdings include the oil giant Shell, the bank NatWest and the insurer Aviva.” This trust trades at par, or within a single percentage point of its NAV.</w:t>
      </w:r>
    </w:p>
    <w:p w:rsidR="00000000" w:rsidDel="00000000" w:rsidP="00000000" w:rsidRDefault="00000000" w:rsidRPr="00000000" w14:paraId="0000000A">
      <w:pPr>
        <w:spacing w:after="280" w:before="280" w:lineRule="auto"/>
        <w:rPr>
          <w:i w:val="1"/>
          <w:iCs w:val="1"/>
          <w:color w:val="1b1b1b"/>
          <w:sz w:val="27"/>
          <w:szCs w:val="27"/>
        </w:rPr>
      </w:pPr>
      <w:r w:rsidDel="00000000" w:rsidR="00000000" w:rsidRPr="00000000">
        <w:rPr>
          <w:i w:val="1"/>
          <w:iCs w:val="1"/>
          <w:color w:val="1b1b1b"/>
          <w:sz w:val="27"/>
          <w:szCs w:val="27"/>
          <w:rtl w:val="0"/>
        </w:rPr>
        <w:t xml:space="preserve">Annual charge: 0.59 per cent </w:t>
        <w:br w:type="textWrapping"/>
        <w:t xml:space="preserve">Five-year return: 98 per cent</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