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Aviva completed £348m in new equity release sales in 2025, a 32% increase on the year before. </w:t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The firm said this was driven by higher demand and its launch of a flexible repayment proposition. At the end of last year, Aviva released a </w:t>
      </w:r>
      <w:hyperlink r:id="rId6">
        <w:r w:rsidDel="00000000" w:rsidR="00000000" w:rsidRPr="00000000">
          <w:rPr>
            <w:rFonts w:ascii="Lora" w:cs="Lora" w:eastAsia="Lora" w:hAnsi="Lora"/>
            <w:b w:val="1"/>
            <w:bCs w:val="1"/>
            <w:color w:val="1155cc"/>
            <w:sz w:val="27"/>
            <w:szCs w:val="27"/>
            <w:u w:val="single"/>
            <w:rtl w:val="0"/>
          </w:rPr>
          <w:t xml:space="preserve">lifetime mortgage</w:t>
        </w:r>
      </w:hyperlink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 that rewards borrowers who make repayments on the interest. </w:t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Meanwhile, its retirement division, comprising annuities and equity release, saw a 30% fall in sales from £9.4bn to £6.6bn, which it said was in line with guidance. The retirement division also delivered £711m in operating profit, a 5% fall on the previous year. </w:t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Aviva saw an 8% decline in protection sales to £345m, which it said was expected due to the consolidation of its propositions in the second half of 2024, following the </w:t>
      </w:r>
      <w:hyperlink r:id="rId7">
        <w:r w:rsidDel="00000000" w:rsidR="00000000" w:rsidRPr="00000000">
          <w:rPr>
            <w:rFonts w:ascii="Lora" w:cs="Lora" w:eastAsia="Lora" w:hAnsi="Lora"/>
            <w:b w:val="1"/>
            <w:bCs w:val="1"/>
            <w:color w:val="1155cc"/>
            <w:sz w:val="27"/>
            <w:szCs w:val="27"/>
            <w:u w:val="single"/>
            <w:rtl w:val="0"/>
          </w:rPr>
          <w:t xml:space="preserve">acquisition from AIG</w:t>
        </w:r>
      </w:hyperlink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. It said it focused on value over volume, and the protection division’s operating profit rose by 97% to £132m. </w:t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Its UK and Ireland general insurance division reported a 27% lift in premiums to £9.8bn, as its UK personal lines premiums rose 50%, supported by the acquisition of Direct Line and growth in intermediated business. </w:t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Aviva’s operating profit jumped 25% to £2.2bn. 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Amanda Blanc, group chief executive of Aviva, said: “Aviva delivered an outstanding performance in 2025, our fifth consecutive year of strong, profitable growth. 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“We have achieved our 2026 financial targets one year early, highlighting the rapid and sustained progress we are making.” </w:t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Blanc said the results had been “excellent” across the business and Aviva had been “transformed” over the last five years, adding: “Whilst we have made significant progress, there is so much more to come.” 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Blanc said: “Aviva has many in-built advantages, which set us up well for future success, including our unrivalled scale with almost 22 million UK customers, our diversified model and market-leading technology. We have clear strengths in artificial intelligence, which are creating major opportunities to transform claims, underwriting and customer experience. </w:t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“We are in a very strong position to deliver long-term growth, especially in the capital-light markets of wealth and insurance, and unlock even more benefits for our customers and shareholders.”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rtgagesolutions.co.uk/news/2025/10/31/aviva-brings-out-equity-release-product-with-repayment-bonus-reward/" TargetMode="External"/><Relationship Id="rId7" Type="http://schemas.openxmlformats.org/officeDocument/2006/relationships/hyperlink" Target="https://www.mortgagesolutions.co.uk/news/2024/06/21/aviva-makes-proposition-and-leadership-changes-following-aig-life-acquisitio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