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60" w:before="0" w:line="291.38399999999996" w:lineRule="auto"/>
        <w:rPr>
          <w:sz w:val="17"/>
          <w:szCs w:val="17"/>
        </w:rPr>
      </w:pPr>
      <w:bookmarkStart w:colFirst="0" w:colLast="0" w:name="_skpdjjcpf3vv" w:id="0"/>
      <w:bookmarkEnd w:id="0"/>
      <w:r w:rsidDel="00000000" w:rsidR="00000000" w:rsidRPr="00000000">
        <w:rPr>
          <w:b w:val="1"/>
          <w:bCs w:val="1"/>
          <w:color w:val="1b1b1b"/>
          <w:sz w:val="90"/>
          <w:szCs w:val="90"/>
          <w:rtl w:val="0"/>
        </w:rPr>
        <w:t xml:space="preserve">Aviva launches £350mn share buyback as it hits profit targets early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Aviva saw assets in its wealth arm grow 18 per cent to reach £234bn in 2025 as wider group operating profit was up 25 per cent to £2.2bn.</w:t>
      </w:r>
    </w:p>
    <w:p w:rsidR="00000000" w:rsidDel="00000000" w:rsidP="00000000" w:rsidRDefault="00000000" w:rsidRPr="00000000" w14:paraId="00000003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Article continues after advert</w:t>
      </w:r>
    </w:p>
    <w:p w:rsidR="00000000" w:rsidDel="00000000" w:rsidP="00000000" w:rsidRDefault="00000000" w:rsidRPr="00000000" w14:paraId="00000004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This meant the company achieved its target for group operating profit a year early, according to its results published today (March 5).</w:t>
      </w:r>
    </w:p>
    <w:p w:rsidR="00000000" w:rsidDel="00000000" w:rsidP="00000000" w:rsidRDefault="00000000" w:rsidRPr="00000000" w14:paraId="00000005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Aviva is also set to launch at £350mn share buyback. </w:t>
      </w:r>
    </w:p>
    <w:p w:rsidR="00000000" w:rsidDel="00000000" w:rsidP="00000000" w:rsidRDefault="00000000" w:rsidRPr="00000000" w14:paraId="00000006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Wealth net flows were up 6 per cent to £10.9bn, which Aviva said was supported by platform flows.</w:t>
      </w:r>
    </w:p>
    <w:p w:rsidR="00000000" w:rsidDel="00000000" w:rsidP="00000000" w:rsidRDefault="00000000" w:rsidRPr="00000000" w14:paraId="00000007">
      <w:pPr>
        <w:spacing w:after="280" w:before="280" w:lineRule="auto"/>
        <w:rPr>
          <w:color w:val="1b1b1b"/>
          <w:sz w:val="27"/>
          <w:szCs w:val="27"/>
        </w:rPr>
      </w:pPr>
      <w:hyperlink r:id="rId6">
        <w:r w:rsidDel="00000000" w:rsidR="00000000" w:rsidRPr="00000000">
          <w:rPr>
            <w:color w:val="416ed2"/>
            <w:sz w:val="27"/>
            <w:szCs w:val="27"/>
            <w:rtl w:val="0"/>
          </w:rPr>
          <w:t xml:space="preserve">Aviva</w:t>
        </w:r>
      </w:hyperlink>
      <w:r w:rsidDel="00000000" w:rsidR="00000000" w:rsidRPr="00000000">
        <w:rPr>
          <w:color w:val="1b1b1b"/>
          <w:sz w:val="27"/>
          <w:szCs w:val="27"/>
          <w:rtl w:val="0"/>
        </w:rPr>
        <w:t xml:space="preserve"> anticipates “continued momentum” in its platform business and said it will make further investment to “capture this significant opportunity”. </w:t>
      </w:r>
    </w:p>
    <w:p w:rsidR="00000000" w:rsidDel="00000000" w:rsidP="00000000" w:rsidRDefault="00000000" w:rsidRPr="00000000" w14:paraId="00000008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Amanda Blanc, group CEO, said: “Aviva delivered an outstanding performance in 2025, our fifth consecutive year of strong, profitable growth.</w:t>
      </w:r>
    </w:p>
    <w:p w:rsidR="00000000" w:rsidDel="00000000" w:rsidP="00000000" w:rsidRDefault="00000000" w:rsidRPr="00000000" w14:paraId="00000009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“We have achieved our 2026 financial targets one year early, highlighting the rapid and sustained progress we are making.”</w:t>
      </w:r>
    </w:p>
    <w:p w:rsidR="00000000" w:rsidDel="00000000" w:rsidP="00000000" w:rsidRDefault="00000000" w:rsidRPr="00000000" w14:paraId="0000000A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Aviva also announced a final dividend of 26.2 pence per share, an increase of 10 per cent.</w:t>
      </w:r>
    </w:p>
    <w:p w:rsidR="00000000" w:rsidDel="00000000" w:rsidP="00000000" w:rsidRDefault="00000000" w:rsidRPr="00000000" w14:paraId="0000000B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Blanc added: “We have transformed Aviva over the last five years and whilst we have made significant progress, there is so much more to come.</w:t>
      </w:r>
    </w:p>
    <w:p w:rsidR="00000000" w:rsidDel="00000000" w:rsidP="00000000" w:rsidRDefault="00000000" w:rsidRPr="00000000" w14:paraId="0000000C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“Aviva has many inbuilt advantages which set us up well for future success, including our unrivalled scale with almost 22 million UK customers, our diversified model and market-leading technology.”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tadviser.com/aviva-plc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