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k1d3d36usqe1" w:id="0"/>
      <w:bookmarkEnd w:id="0"/>
      <w:r w:rsidDel="00000000" w:rsidR="00000000" w:rsidRPr="00000000">
        <w:rPr>
          <w:b w:val="1"/>
          <w:bCs w:val="1"/>
          <w:color w:val="1b1b1b"/>
          <w:sz w:val="90"/>
          <w:szCs w:val="90"/>
          <w:rtl w:val="0"/>
        </w:rPr>
        <w:t xml:space="preserve">viva launches £350m share buyback after Direct Line deal boosts profits</w:t>
      </w:r>
    </w:p>
    <w:p w:rsidR="00000000" w:rsidDel="00000000" w:rsidP="00000000" w:rsidRDefault="00000000" w:rsidRPr="00000000" w14:paraId="00000002">
      <w:pPr>
        <w:rPr>
          <w:color w:val="1b1b1b"/>
          <w:sz w:val="27"/>
          <w:szCs w:val="27"/>
        </w:rPr>
      </w:pPr>
      <w:r w:rsidDel="00000000" w:rsidR="00000000" w:rsidRPr="00000000">
        <w:rPr>
          <w:rtl w:val="0"/>
        </w:rPr>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Aviva has kicked off 2026 with a statement of intent for shareholders, unveiling a 10% dividend increase and a £350m share buyback programme.</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This comes after delivering a sharp rise in profits and hitting key 2026 targets a year ahead of schedule, helped by the integration of Direct Line last year.</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The insurer said group operating profit rose 25% to £2.2bn in 2025, up from £1.76bn in 2024, while operating earnings per share climbed 17% to 56 pence.</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Chief executive Amanda Blanc said the performance marked Aviva’s fifth consecutive year of strong, profitable growth and underlined the “rapid and sustained progress” it has made over the past five years.</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Aviva announced a final dividend of 26.2p per share, taking the total dividend for the year to 39.3p, also up 10%.</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The firm said it would begin the £350m buyback programme immediately, resuming its “cadence of regular and sustainable capital returns” at a higher level to reflect the increased share count following the Direct Line deal.</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Aviva pointed to the strategic benefit of the Direct Line transaction in reshaping the group towards “capital-light” businesses, with 68% of operating profit now coming from capital-light operations.</w:t>
      </w:r>
    </w:p>
    <w:p w:rsidR="00000000" w:rsidDel="00000000" w:rsidP="00000000" w:rsidRDefault="00000000" w:rsidRPr="00000000" w14:paraId="0000000A">
      <w:pPr>
        <w:spacing w:after="280" w:before="280" w:lineRule="auto"/>
        <w:rPr>
          <w:color w:val="416ed2"/>
          <w:sz w:val="27"/>
          <w:szCs w:val="27"/>
        </w:rPr>
      </w:pPr>
      <w:hyperlink r:id="rId6">
        <w:r w:rsidDel="00000000" w:rsidR="00000000" w:rsidRPr="00000000">
          <w:rPr>
            <w:color w:val="416ed2"/>
            <w:sz w:val="27"/>
            <w:szCs w:val="27"/>
            <w:rtl w:val="0"/>
          </w:rPr>
          <w:t xml:space="preserve">Aviva targets more cost savings follow Direct Line acquisition</w:t>
        </w:r>
      </w:hyperlink>
      <w:r w:rsidDel="00000000" w:rsidR="00000000" w:rsidRPr="00000000">
        <w:rPr>
          <w:rtl w:val="0"/>
        </w:rPr>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The insurer said operating profit included a £174m contribution from Direct Line, which helped it deliver the group’s £2bn operating profit target a year early. Excluding Direct Line, operating profit rose 15%.</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In general insurance – the part of the group most visibly transformed by the Direct Line purchase – Aviva said premiums rose 18% to £14.1bn, while underwriting profitability improved.</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In UK &amp; Ireland GI, premiums rose 27% to £9.7bn and operating profit jumped 52% to just over £1bn, with UK personal lines premiums up 50%.</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Aviva’s wealth business delivered what Blanc described as its “number one” position, with assets under management up 18% to £234bn and net flows up 6% to £10.9bn.</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The firm said it attracted a record 544 new workplace pension schemes, while platform flows increased 7% to £4.6bn. Customer numbers in wealth rose by around 200,000 to 5.7m, including adviser platform customers up 11% to more than 440,000.</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Retirement sales fell back to a more typical level after a standout 2024, with total sales down 30% to £6.6bn, reflecting lower bulk purchase annuity volumes.</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However, Aviva said individual annuity sales were up 19% and equity release sales rose 32%, pointing to continued demand for guaranteed income and later-life lending.</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Looking ahead, Aviva reiterated the new three-year targets it set out in November: 11% compound annual growth in operating EPS (2025–28), IFRS RoE above 20% by 2028, and cash remittances above £7bn cumulatively for 2026–28.</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Blanc also leaned heavily into technology as a differentiator, saying Aviva’s “clear strengths in artificial intelligence” are already improving claims and pricing, with early progress in claims summarisation and medical underwriting tools.</w:t>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moneymarketing.co.uk/news/aviva-targets-more-cost-savings-following-direct-line-acquisi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