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17"/>
          <w:szCs w:val="17"/>
        </w:rPr>
      </w:pPr>
      <w:bookmarkStart w:colFirst="0" w:colLast="0" w:name="_qxgdz2gh2g03" w:id="0"/>
      <w:bookmarkEnd w:id="0"/>
      <w:r w:rsidDel="00000000" w:rsidR="00000000" w:rsidRPr="00000000">
        <w:rPr>
          <w:b w:val="1"/>
          <w:bCs w:val="1"/>
          <w:color w:val="1b1b1b"/>
          <w:sz w:val="90"/>
          <w:szCs w:val="90"/>
          <w:rtl w:val="0"/>
        </w:rPr>
        <w:t xml:space="preserve">Aviva onshore bond uptake by advisers beats expectations</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introduction of Aviva’s onshore bond helped with adviser retention in 2025, claimed Doug Brown, the company’s CEO for insurance, wealth and retirement.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In the year customer numbers on the adviser platform increased by 11 per cent to 440,000 from 400,000.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This is a number Brown hopes will increase in 2026, though he was reluctant to put a target number on it.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bond was fully introduced on the platform in the summer of 2025 after being trialed by a group of advisers.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Brown said uptake of the product has been ahead of Aviva’s expectations.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“There is good momentum in that business and we expect that to continue in 2026,” said Brown.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helped to fill a proposition gap, advisers are looking [to the onshore bond] with changes in IHT.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“Being able to support them to meet the needs of their customers was very important. So we’re pleased with that launch.”</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Brown said Aviva would invest in tools for advisers, particularly to support them in relation to inheritance tax changes.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This year, Aviva topped Defaqto’s list of the </w:t>
      </w:r>
      <w:hyperlink r:id="rId6">
        <w:r w:rsidDel="00000000" w:rsidR="00000000" w:rsidRPr="00000000">
          <w:rPr>
            <w:color w:val="416ed2"/>
            <w:sz w:val="27"/>
            <w:szCs w:val="27"/>
            <w:rtl w:val="0"/>
          </w:rPr>
          <w:t xml:space="preserve">most recommended adviser platform</w:t>
        </w:r>
      </w:hyperlink>
      <w:r w:rsidDel="00000000" w:rsidR="00000000" w:rsidRPr="00000000">
        <w:rPr>
          <w:color w:val="1b1b1b"/>
          <w:sz w:val="27"/>
          <w:szCs w:val="27"/>
          <w:rtl w:val="0"/>
        </w:rPr>
        <w:t xml:space="preserve">after being pipped to the post by Quilter the previous year.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“I’m very proud of the team, it took a lot of effort to get there,” said Brown.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“We feel good about that, but we want to make sure that we stay there.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“One of the reasons we’re there is the investment we’ve made in distribution and the technical aspects supporting advisers, but we also invested heavily in the platform.</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“As you’d expect, we’ve got a roadmap for 2026, we continue to invest in that platform and hopefully if we continue to do that and make it easy for advisers to use, then we’ll be able to maintain the position that we have.”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Other areas Aviva is committed to investing in is in relation to generational wealth and making the platform more efficient for advisers.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On Thursday (March 5) Aviva </w:t>
      </w:r>
      <w:hyperlink r:id="rId7">
        <w:r w:rsidDel="00000000" w:rsidR="00000000" w:rsidRPr="00000000">
          <w:rPr>
            <w:color w:val="416ed2"/>
            <w:sz w:val="27"/>
            <w:szCs w:val="27"/>
            <w:rtl w:val="0"/>
          </w:rPr>
          <w:t xml:space="preserve">launched a £350m share buyback</w:t>
        </w:r>
      </w:hyperlink>
      <w:r w:rsidDel="00000000" w:rsidR="00000000" w:rsidRPr="00000000">
        <w:rPr>
          <w:color w:val="1b1b1b"/>
          <w:sz w:val="27"/>
          <w:szCs w:val="27"/>
          <w:rtl w:val="0"/>
        </w:rPr>
        <w:t xml:space="preserve"> as it announced group operating profit was up 25 per cent to £2.2bn</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content/971b0530-6031-4927-a2e5-bd26273e9b44" TargetMode="External"/><Relationship Id="rId7" Type="http://schemas.openxmlformats.org/officeDocument/2006/relationships/hyperlink" Target="https://www.ftadviser.com/content/cb0a45ae-f4de-40d8-9ffc-a5a1fcf7d7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