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780" w:before="0" w:lineRule="auto"/>
        <w:ind w:right="340"/>
        <w:rPr>
          <w:color w:val="888888"/>
          <w:sz w:val="24"/>
          <w:szCs w:val="24"/>
        </w:rPr>
      </w:pPr>
      <w:bookmarkStart w:colFirst="0" w:colLast="0" w:name="_ct0xdiqr0yzg" w:id="0"/>
      <w:bookmarkEnd w:id="0"/>
      <w:r w:rsidDel="00000000" w:rsidR="00000000" w:rsidRPr="00000000">
        <w:rPr>
          <w:b w:val="1"/>
          <w:bCs w:val="1"/>
          <w:color w:val="212121"/>
          <w:sz w:val="48"/>
          <w:szCs w:val="48"/>
          <w:rtl w:val="0"/>
        </w:rPr>
        <w:t xml:space="preserve">Aviva launches refreshed PI offering on Acturis eTrade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160" w:before="160" w:lineRule="auto"/>
        <w:ind w:left="720" w:right="440" w:hanging="360"/>
      </w:pPr>
      <w:r w:rsidDel="00000000" w:rsidR="00000000" w:rsidRPr="00000000">
        <w:rPr>
          <w:b w:val="1"/>
          <w:bCs w:val="1"/>
          <w:color w:val="444444"/>
          <w:sz w:val="24"/>
          <w:szCs w:val="24"/>
          <w:rtl w:val="0"/>
        </w:rPr>
        <w:t xml:space="preserve">’I’m really pleased to be giving brokers even more choice by launching our professional indemnity proposition on eTrade, alongside our award-winning Fast Trade platform,’ says SME managing director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hyperlink r:id="rId6">
        <w:r w:rsidDel="00000000" w:rsidR="00000000" w:rsidRPr="00000000">
          <w:rPr>
            <w:color w:val="b61905"/>
            <w:sz w:val="24"/>
            <w:szCs w:val="24"/>
            <w:rtl w:val="0"/>
          </w:rPr>
          <w:t xml:space="preserve">Aviva</w:t>
        </w:r>
      </w:hyperlink>
      <w:r w:rsidDel="00000000" w:rsidR="00000000" w:rsidRPr="00000000">
        <w:rPr>
          <w:color w:val="444444"/>
          <w:sz w:val="24"/>
          <w:szCs w:val="24"/>
          <w:rtl w:val="0"/>
        </w:rPr>
        <w:t xml:space="preserve"> has launched a refreshed professional indemnity proposition on its Fast Trade platform and Acturis eTrade.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The product is designed to provide </w:t>
      </w:r>
      <w:hyperlink r:id="rId7">
        <w:r w:rsidDel="00000000" w:rsidR="00000000" w:rsidRPr="00000000">
          <w:rPr>
            <w:color w:val="b61905"/>
            <w:sz w:val="24"/>
            <w:szCs w:val="24"/>
            <w:rtl w:val="0"/>
          </w:rPr>
          <w:t xml:space="preserve">brokers</w:t>
        </w:r>
      </w:hyperlink>
      <w:r w:rsidDel="00000000" w:rsidR="00000000" w:rsidRPr="00000000">
        <w:rPr>
          <w:color w:val="444444"/>
          <w:sz w:val="24"/>
          <w:szCs w:val="24"/>
          <w:rtl w:val="0"/>
        </w:rPr>
        <w:t xml:space="preserve"> with an improved trading journey across both platforms, supported by an updated question set that enables quicker underwriting decisions.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The extended proposition specifically targets SME risks, supporting a maximum fee income of £2.5m for eligible trades and a maximum turnover of £25m for design and construct clients.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Indemnity limits ranging from £100,000 to £5m are available, alongside selectable excess options.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Rebecca Gambrell, managing director of SME and delegated authorities at Aviva, said: “As customers continue to evolve and grow, we know flexibility matters for them and our brokers, both in the cover itself and how it is traded.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”I’m really pleased to be giving brokers even more choice by launching our professional indemnity proposition on eTrade, alongside our award-winning Fast Trade platform.”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20" w:before="0" w:lineRule="auto"/>
        <w:ind w:right="340"/>
        <w:rPr>
          <w:b w:val="1"/>
          <w:bCs w:val="1"/>
          <w:color w:val="212121"/>
        </w:rPr>
      </w:pPr>
      <w:bookmarkStart w:colFirst="0" w:colLast="0" w:name="_65a6c9fwv8bx" w:id="1"/>
      <w:bookmarkEnd w:id="1"/>
      <w:r w:rsidDel="00000000" w:rsidR="00000000" w:rsidRPr="00000000">
        <w:rPr>
          <w:b w:val="1"/>
          <w:bCs w:val="1"/>
          <w:color w:val="212121"/>
          <w:rtl w:val="0"/>
        </w:rPr>
        <w:t xml:space="preserve">Wider programme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b w:val="1"/>
          <w:bCs w:val="1"/>
          <w:color w:val="b61905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The launch forms part of a wider programme of investment in Aviva’s financial lines proposition, with further product developments planned throughout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It also builds on recent enhancements to Aviva’s digital offering, including the recently completed modularisation of the insurer’s commercial combined proposition.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Gambrell said: “We want to make it as easy as possible for brokers to trade with Aviva in the way that works best for their business and clients.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0" w:lineRule="auto"/>
        <w:ind w:right="34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”By listening to broker feedback and continuing to invest in digital trading, we’re focused on giving brokers the tools they need to support clients confidently in a competitive market.”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44444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urancetimes.co.uk/insurers/featured/aviva" TargetMode="External"/><Relationship Id="rId7" Type="http://schemas.openxmlformats.org/officeDocument/2006/relationships/hyperlink" Target="https://www.insurancetimes.co.uk/brokers/featur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