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fzk1ijbxhl4h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Aviva platform flows jump 28% as it signals D2C market push</w:t>
      </w:r>
    </w:p>
    <w:p w:rsidR="00000000" w:rsidDel="00000000" w:rsidP="00000000" w:rsidRDefault="00000000" w:rsidRPr="00000000" w14:paraId="00000002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3">
      <w:pP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Summarise</w:t>
      </w:r>
    </w:p>
    <w:p w:rsidR="00000000" w:rsidDel="00000000" w:rsidP="00000000" w:rsidRDefault="00000000" w:rsidRPr="00000000" w14:paraId="00000004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vdvtehl29nf2" w:id="1"/>
      <w:bookmarkEnd w:id="1"/>
      <w:r w:rsidDel="00000000" w:rsidR="00000000" w:rsidRPr="00000000">
        <w:rPr>
          <w:sz w:val="50"/>
          <w:szCs w:val="50"/>
          <w:rtl w:val="0"/>
        </w:rPr>
        <w:t xml:space="preserve">For the six months to 30 June, net flows reached £2.4bn.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Aviva 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saw its platform net flows rise by 28% in the first half of the year, as the provider signals its intent to grow its direct-to-consumer (D2C) market share. 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For the six months to 30 June, net flows reached £2.4bn, up from £1.9bn in the previous year, solidifying Aviva’s position as the second-top platform for flows, according to Fundscape data. 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Aviva attributed these flows to ‘higher retention’ among advised customers and also ‘continued momentum’ from its D2C service, direct wealth, which was launched last year. 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Aviva’s direct wealth proposition includes a </w:t>
      </w:r>
      <w:hyperlink r:id="rId7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hybrid advice service,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with a mix of money coaching, digital guidance and telephone advisers. It also includes Aviva’s robo-advice service Wealthify.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the results Aviva signalled its intent to expand in the D2C market, where it now has 90,000 customers.  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‘We are growing our presence in the direct-to-customer market and building a connected wealth proposition to capitalise on a significant opportunity with our existing customer base,’ the results said. 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Aviva’s wealth arm also includes national IFA Succession Wealth; however no details were provided on its performance in the accounts.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Aviva’s total wealth arm, which includes its workplace pension, platform and advice arm saw operating profit rise 31% to £76m. 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insurer, led by CEO Amanda Blanc, announced a 10% rise to its interim dividend in the accounts, to 13.1p per share, on the back of a 22% rise in group operating profit. 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Aviva’s shares were trading 3.4% higher at 8:15am. Year to date Aviva’s shares are up almost 44%.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itywire.com/new-model-adviser/news/company/aviva/j56?utm_medium=website&amp;utm_source=citywire_nma&amp;utm_campaign=article-in-body" TargetMode="External"/><Relationship Id="rId7" Type="http://schemas.openxmlformats.org/officeDocument/2006/relationships/hyperlink" Target="https://citywire.com/new-model-adviser/news/aviva-to-launch-hybrid-advice-service/a2428278?utm_medium=website&amp;utm_source=citywire_nma&amp;utm_campaign=article-in-bo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