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Rule="auto"/>
        <w:rPr>
          <w:b w:val="1"/>
          <w:bCs w:val="1"/>
          <w:sz w:val="48"/>
          <w:szCs w:val="48"/>
        </w:rPr>
      </w:pPr>
      <w:bookmarkStart w:colFirst="0" w:colLast="0" w:name="_kxf09c9upsbz" w:id="0"/>
      <w:bookmarkEnd w:id="0"/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Aviva sees equity release sales jump 42% in H1 as market improves </w:t>
      </w:r>
    </w:p>
    <w:p w:rsidR="00000000" w:rsidDel="00000000" w:rsidP="00000000" w:rsidRDefault="00000000" w:rsidRPr="00000000" w14:paraId="00000002">
      <w:pPr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Aviva has reported a 42% year-on-year surge in equity release sales to £162m in the first six months of the year, owing to an improvement in market activity and the launch of a new proposition. </w:t>
      </w:r>
    </w:p>
    <w:p w:rsidR="00000000" w:rsidDel="00000000" w:rsidP="00000000" w:rsidRDefault="00000000" w:rsidRPr="00000000" w14:paraId="0000000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Its equity release portfolio had an average loan-to-value (LTV) ratio of 28.2%, with around 91% of loans having an LTV less than 50%. </w:t>
      </w:r>
    </w:p>
    <w:p w:rsidR="00000000" w:rsidDel="00000000" w:rsidP="00000000" w:rsidRDefault="00000000" w:rsidRPr="00000000" w14:paraId="0000000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Aviva said it was actively managing new business LTVs and it continued to be a “conservative lender”. </w:t>
      </w:r>
    </w:p>
    <w:p w:rsidR="00000000" w:rsidDel="00000000" w:rsidP="00000000" w:rsidRDefault="00000000" w:rsidRPr="00000000" w14:paraId="0000000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House price growth had resulted in LTV ratios falling, which Aviva said gave some headroom against property price uncertainty in the short term. </w:t>
      </w:r>
    </w:p>
    <w:p w:rsidR="00000000" w:rsidDel="00000000" w:rsidP="00000000" w:rsidRDefault="00000000" w:rsidRPr="00000000" w14:paraId="0000000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Its no-negative-equity guarantee, which sees Aviva deduct the potential shortfall between the value of a loan and the value of a property at the end of the term, resulted in around £8m in losses over 10 years. 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Rule="auto"/>
        <w:rPr>
          <w:b w:val="1"/>
          <w:bCs w:val="1"/>
          <w:color w:val="000000"/>
        </w:rPr>
      </w:pPr>
      <w:bookmarkStart w:colFirst="0" w:colLast="0" w:name="_l58vqh7qv00z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Rule="auto"/>
        <w:rPr>
          <w:b w:val="1"/>
          <w:bCs w:val="1"/>
          <w:color w:val="000000"/>
        </w:rPr>
      </w:pPr>
      <w:bookmarkStart w:colFirst="0" w:colLast="0" w:name="_7xpadubbdn77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Protection and GI performance </w:t>
      </w:r>
    </w:p>
    <w:p w:rsidR="00000000" w:rsidDel="00000000" w:rsidP="00000000" w:rsidRDefault="00000000" w:rsidRPr="00000000" w14:paraId="0000000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Aviva reported a 16% fall in protection sales to £172m, which it said was expected due to the consolidation of propositions following its </w:t>
      </w:r>
      <w:hyperlink r:id="rId6">
        <w:r w:rsidDel="00000000" w:rsidR="00000000" w:rsidRPr="00000000">
          <w:rPr>
            <w:rFonts w:ascii="Lora" w:cs="Lora" w:eastAsia="Lora" w:hAnsi="Lora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acquisition from AIG</w:t>
        </w:r>
      </w:hyperlink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.</w:t>
      </w:r>
      <w:r w:rsidDel="00000000" w:rsidR="00000000" w:rsidRPr="00000000">
        <w:fldChar w:fldCharType="begin"/>
        <w:instrText xml:space="preserve"> HYPERLINK "https://www.mortgagesolutions.co.uk/sponsored-content/pepper-money/the-growth-of-just-off-high-street-lending/"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387.3913043478261" w:lineRule="auto"/>
        <w:rPr>
          <w:rFonts w:ascii="Lora" w:cs="Lora" w:eastAsia="Lora" w:hAnsi="Lora"/>
          <w:color w:val="1155cc"/>
          <w:sz w:val="23"/>
          <w:szCs w:val="23"/>
          <w:u w:val="single"/>
          <w:shd w:fill="f1f3f4" w:val="clear"/>
        </w:rPr>
      </w:pPr>
      <w:r w:rsidDel="00000000" w:rsidR="00000000" w:rsidRPr="00000000">
        <w:fldChar w:fldCharType="end"/>
      </w:r>
      <w:r w:rsidDel="00000000" w:rsidR="00000000" w:rsidRPr="00000000">
        <w:fldChar w:fldCharType="begin"/>
        <w:instrText xml:space="preserve"> HYPERLINK "https://www.mortgagesolutions.co.uk/sponsored-content/pepper-money/the-growth-of-just-off-high-street-lending/"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It said its margins were improving as it integrated both businesses. </w:t>
      </w:r>
    </w:p>
    <w:p w:rsidR="00000000" w:rsidDel="00000000" w:rsidP="00000000" w:rsidRDefault="00000000" w:rsidRPr="00000000" w14:paraId="0000000D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The operating profit generated by its protection business rose 23% to £57m. </w:t>
      </w:r>
    </w:p>
    <w:p w:rsidR="00000000" w:rsidDel="00000000" w:rsidP="00000000" w:rsidRDefault="00000000" w:rsidRPr="00000000" w14:paraId="0000000E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Premiums across Aviva’s UK and Ireland general insurance division increased by 9% to £4.1bn. </w:t>
      </w:r>
    </w:p>
    <w:p w:rsidR="00000000" w:rsidDel="00000000" w:rsidP="00000000" w:rsidRDefault="00000000" w:rsidRPr="00000000" w14:paraId="0000000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Operating profit was 50% higher at £430m, due to a “strong underwriting result” and improved investment return in the UK. However, this was partially offset by the impact of Storm Eowyn in Ireland. </w:t>
      </w:r>
    </w:p>
    <w:p w:rsidR="00000000" w:rsidDel="00000000" w:rsidP="00000000" w:rsidRDefault="00000000" w:rsidRPr="00000000" w14:paraId="00000010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Rule="auto"/>
        <w:rPr>
          <w:b w:val="1"/>
          <w:bCs w:val="1"/>
          <w:color w:val="000000"/>
        </w:rPr>
      </w:pPr>
      <w:bookmarkStart w:colFirst="0" w:colLast="0" w:name="_8bjb9zmkpy2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An outstanding performance </w:t>
      </w:r>
    </w:p>
    <w:p w:rsidR="00000000" w:rsidDel="00000000" w:rsidP="00000000" w:rsidRDefault="00000000" w:rsidRPr="00000000" w14:paraId="0000001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Aviva reported a 22% increase in operating profit to £1.1bn, driven by growth in its UK and Ireland general insurance division. </w:t>
      </w:r>
    </w:p>
    <w:p w:rsidR="00000000" w:rsidDel="00000000" w:rsidP="00000000" w:rsidRDefault="00000000" w:rsidRPr="00000000" w14:paraId="00000013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Amanda Blanc, group chief executive at Aviva, said: “Aviva’s performance in the first half of 2025 was outstanding, growing operating profit by 22% and extending our track record of delivery. Another set of high-quality results, combined with excellent strategic progress, are further evidence of how we are pushing Aviva forward. </w:t>
      </w:r>
    </w:p>
    <w:p w:rsidR="00000000" w:rsidDel="00000000" w:rsidP="00000000" w:rsidRDefault="00000000" w:rsidRPr="00000000" w14:paraId="0000001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“We completed the acquisition of Direct Line at the beginning of July, just six months after our recommended offer, and integration is well underway. The combined business is a UK market leader with over 21 million customers, or four in 10 adults, and we are confident the deal will contribute significantly to Aviva’s future growth.” </w:t>
      </w:r>
    </w:p>
    <w:p w:rsidR="00000000" w:rsidDel="00000000" w:rsidP="00000000" w:rsidRDefault="00000000" w:rsidRPr="00000000" w14:paraId="0000001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She added: “Over the past five years, we’ve transformed the performance and prospects of Aviva. Today, we are the UK’s leading diversified insurer, with a strong track record of delivery, and an unwavering commitment to our customers. </w:t>
      </w:r>
    </w:p>
    <w:p w:rsidR="00000000" w:rsidDel="00000000" w:rsidP="00000000" w:rsidRDefault="00000000" w:rsidRPr="00000000" w14:paraId="0000001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160" w:lineRule="auto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“We are very well-positioned to accelerate growth in the capital-light areas of wealth, health and general insurance, and deliver more and more for our shareholders.”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mortgagesolutions.co.uk/news/2023/09/25/aviva-buys-aigs-uk-protection-business-for-460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