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dbkpc9rjhge7" w:id="0"/>
      <w:bookmarkEnd w:id="0"/>
      <w:r w:rsidDel="00000000" w:rsidR="00000000" w:rsidRPr="00000000">
        <w:rPr>
          <w:b w:val="1"/>
          <w:bCs w:val="1"/>
          <w:color w:val="1b1b1b"/>
          <w:sz w:val="90"/>
          <w:szCs w:val="90"/>
          <w:rtl w:val="0"/>
        </w:rPr>
        <w:t xml:space="preserve">Aviva Master Trust reaches £15bn AUM</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s4rxgzpj1mid" w:id="1"/>
      <w:bookmarkEnd w:id="1"/>
      <w:r w:rsidDel="00000000" w:rsidR="00000000" w:rsidRPr="00000000">
        <w:rPr>
          <w:sz w:val="50"/>
          <w:szCs w:val="50"/>
          <w:rtl w:val="0"/>
        </w:rPr>
        <w:t xml:space="preserve">Scheme supports 550 participating employers and some 500,000 members in the UK</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trust-based defined contribution (DC) scheme now supports more than 550 participating employers with more than 500,000 members across the UK.</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master trust </w:t>
      </w:r>
      <w:hyperlink r:id="rId6">
        <w:r w:rsidDel="00000000" w:rsidR="00000000" w:rsidRPr="00000000">
          <w:rPr>
            <w:color w:val="416ed2"/>
            <w:sz w:val="27"/>
            <w:szCs w:val="27"/>
            <w:rtl w:val="0"/>
          </w:rPr>
          <w:t xml:space="preserve">recently appointed Dr Chris Noon</w:t>
        </w:r>
      </w:hyperlink>
      <w:r w:rsidDel="00000000" w:rsidR="00000000" w:rsidRPr="00000000">
        <w:rPr>
          <w:color w:val="1b1b1b"/>
          <w:sz w:val="27"/>
          <w:szCs w:val="27"/>
          <w:rtl w:val="0"/>
        </w:rPr>
        <w:t xml:space="preserve"> as chair alongside </w:t>
      </w:r>
      <w:hyperlink r:id="rId7">
        <w:r w:rsidDel="00000000" w:rsidR="00000000" w:rsidRPr="00000000">
          <w:rPr>
            <w:color w:val="416ed2"/>
            <w:sz w:val="27"/>
            <w:szCs w:val="27"/>
            <w:rtl w:val="0"/>
          </w:rPr>
          <w:t xml:space="preserve">new trustees Rita Butler-Jones, Fiona Matthews and Rekha Owen</w:t>
        </w:r>
      </w:hyperlink>
      <w:r w:rsidDel="00000000" w:rsidR="00000000" w:rsidRPr="00000000">
        <w:rPr>
          <w:color w:val="1b1b1b"/>
          <w:sz w:val="27"/>
          <w:szCs w:val="27"/>
          <w:rtl w:val="0"/>
        </w:rPr>
        <w:t xml:space="preserve">, who sit with existing board members Andy Purvis and Jonathan Parker.</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firm said the master trust had introduced several developments including its </w:t>
      </w:r>
      <w:hyperlink r:id="rId8">
        <w:r w:rsidDel="00000000" w:rsidR="00000000" w:rsidRPr="00000000">
          <w:rPr>
            <w:color w:val="416ed2"/>
            <w:sz w:val="27"/>
            <w:szCs w:val="27"/>
            <w:rtl w:val="0"/>
          </w:rPr>
          <w:t xml:space="preserve">guided retirement product for members</w:t>
        </w:r>
      </w:hyperlink>
      <w:r w:rsidDel="00000000" w:rsidR="00000000" w:rsidRPr="00000000">
        <w:rPr>
          <w:color w:val="1b1b1b"/>
          <w:sz w:val="27"/>
          <w:szCs w:val="27"/>
          <w:rtl w:val="0"/>
        </w:rPr>
        <w:t xml:space="preserve">, a career break online tool, and a new suite of Shariah investment funds.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Aviva head of master trust development Geoff Marchment said: "Reaching £15bn in assets under management is a significant milestone that reflects the trust employers place in the Aviva Master Trust and our commitment to delivering better outcomes for members. Scale matters – especially when harnessed to benefit savers through strong governance, responsible investment, and practical tools that empower confident decision-making."</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Dr Noon added: "This significant milestone is testament to the strength and scale of the Aviva Master Trust. It reflects the confidence our employers and members place in us and offers even greater opportunities to deliver meaningful value at scale. Our focus remains firmly on helping members achieve better outcomes - through innovation, strong governance, and a retirement journey that truly works for them. We're excited to build on this momentum and continue shaping a future where every saver in the trust feels supported and empowered."</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rofessionalpensions.com/news/4413401/people-moves-friday-may-2025" TargetMode="External"/><Relationship Id="rId7" Type="http://schemas.openxmlformats.org/officeDocument/2006/relationships/hyperlink" Target="https://www.professionalpensions.com/news/4518287/people-moves-friday-august-2025" TargetMode="External"/><Relationship Id="rId8" Type="http://schemas.openxmlformats.org/officeDocument/2006/relationships/hyperlink" Target="https://www.professionalpensions.com/news/4516743/aviva-launches-guided-retirement-product-workplace-me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