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sz w:val="90"/>
          <w:szCs w:val="90"/>
        </w:rPr>
      </w:pPr>
      <w:bookmarkStart w:colFirst="0" w:colLast="0" w:name="_fc3hpqry7bdp" w:id="0"/>
      <w:bookmarkEnd w:id="0"/>
      <w:r w:rsidDel="00000000" w:rsidR="00000000" w:rsidRPr="00000000">
        <w:rPr>
          <w:b w:val="1"/>
          <w:bCs w:val="1"/>
          <w:sz w:val="90"/>
          <w:szCs w:val="90"/>
          <w:rtl w:val="0"/>
        </w:rPr>
        <w:t xml:space="preserve">Aviva sees sharp rise in equity release and annuity sales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Summarise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hyperlink r:id="rId6">
        <w:r w:rsidDel="00000000" w:rsidR="00000000" w:rsidRPr="00000000">
          <w:rPr>
            <w:color w:val="416ed2"/>
            <w:rtl w:val="0"/>
          </w:rPr>
          <w:t xml:space="preserve">Aviva shares</w:t>
        </w:r>
      </w:hyperlink>
      <w:r w:rsidDel="00000000" w:rsidR="00000000" w:rsidRPr="00000000">
        <w:rPr>
          <w:rtl w:val="0"/>
        </w:rPr>
        <w:t xml:space="preserve"> fell on Thursday after the insurer's third quarter performance fell short of expectations despite a sharp rise in equity release and annuity sales.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FTSE 100 insurance giant said individual annuity and equity release sales jumped 24 and 39 per cent, respectively, over the three months to the end of September. 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firm also said it was on track to almost double its cost savings after its acquisition of Direct Line earlier this year.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Aviva now expects to generate £225million of savings following the £3.7billion deal, nearly twice its original estimate.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Aviva shares were down 4.39 per cent or 30.40p to 662.20p on Thursday, having risen over 45 per cent in the last year.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Thursday's decline came as Aviva underperformed analyst forecasts for life insurance profitability and and gross written premiums within general insurance.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of new business within life insurance - a measure of profitability - was 10 per cent short of UBS estimates at £189million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Meanwhile gross written premiums within general insurance were 9 per cent short of the investment bank's £4billion target.  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Aviva surpassed UBS' estimates for present value of new business premiums - a key sales measure - within life insurance by 4 per cent at around £11.3billion.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UBS analysts said: 'We expect a negative share price reaction, given lower guidance than UBSe and expectations.'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49"/>
          <w:szCs w:val="49"/>
        </w:rPr>
      </w:pPr>
      <w:bookmarkStart w:colFirst="0" w:colLast="0" w:name="_p42ctuy4hx9b" w:id="1"/>
      <w:bookmarkEnd w:id="1"/>
      <w:r w:rsidDel="00000000" w:rsidR="00000000" w:rsidRPr="00000000">
        <w:rPr>
          <w:b w:val="1"/>
          <w:bCs w:val="1"/>
          <w:sz w:val="49"/>
          <w:szCs w:val="49"/>
          <w:rtl w:val="0"/>
        </w:rPr>
        <w:t xml:space="preserve">Aviva's three-year plan 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its update on Thursday, Aviva also announced three new three-year targets.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fresh targets include an 11 per cent  compound annual growth rate in operating earnings per share through to 2028, a return on equity exceeding 20 per cent per cent by 2028, and over £7billion in cumulative cash remittances between 2026 and 2028.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Elsewhere, the insurer said it was on track to hit group targets for next year a year early and has set higher ambitions for growth, capital returns and profitability.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group reported 12 per cent growth in general insurance premiums to £10billion, with growth in the UK and Ireland up 17 per cent to £6.7billion.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Aviva's wealth arm secured net flows of £8.3billion, taking assets under management to £224billion. 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Protection and health sales reached £384million, while retirement sales came in at £5.3billion, including £3.9billion of bulk purchase annuity.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company now expects to deliver around £2billion operating profit for this year.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Blanc said: 'Over the last five years we have transformed Aviva, delivering again and again for our customers and shareholders.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'We continue to make excellent progress and now expect to achieve our financial targets in 2025, one year early.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'Crucially, we have achieved this significant milestone thanks to the consistently strong performance of Aviva, before any impacts of the Direct Line acquisition are included.' 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Russ Mould, investment director at AJ Bell, said: 'The market seems underwhelmed by Aviva’s latest update and in particular its three-year targets for the business.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'This does follow a strong showing for the shares so far in 2025 so a pause for breath is understandable – particularly given evidence of strong competition in the bulk purchase annuity market, where insurers take over the running of corporate pension schemes.'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added: 'This is a profitable area but an increasingly crowded market and that was reflected in a meaningful drop in sales.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'Otherwise, the integration of Direct Line continues to motor along as the company continues to up the expected synergies from the deal.'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vesting.thisismoney.co.uk/quote/AV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