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color w:val="1b1b1b"/>
          <w:sz w:val="27"/>
          <w:szCs w:val="27"/>
        </w:rPr>
      </w:pPr>
      <w:bookmarkStart w:colFirst="0" w:colLast="0" w:name="_a9lbqr2wcw48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Aviva upgrades tech as guaranteed income demand surges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Aviva has completed the first phase of a major technology overhaul of its individual annuities business as demand for guaranteed income continues to rise.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provider has gone live with GBST’s Composer platform, which will underpin new product development and the migration of existing annuity customers.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rollout follows a sharp resurgence in annuity sales as higher rates and increased later-life risk awareness push more retirees away from drawdown.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Aviva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said the new system gives it greater flexibility to launch products quickly and improve service standards for customers and advisers.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As part of the first release, Aviva has introduced a guaranteed fixed-term income plan.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firm plans to add further annuity products and move legacy customers onto the Composer system in the next stages of the programme.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Claire Reed, director of individual annuities at Aviva, said the upgrade was central to the insurer’s long-term retirement strategy.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“The Composer platform gives us the flexibility and security to accelerate our transformation and enhance the experience we deliver for our customers and their advisers,” she said.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“This collaboration marks an important step forward in delivering innovative retirement solutions that meet the evolving needs of retirees.”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GBST said Composer will give Aviva a modern, automated operating model with stronger straight through processing, reduced friction in onboarding and greater scalability for payment processing.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firm said the project was delivered on time and on budget.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David Simpson, head of EMEA at GBST, said the company would continue to work with Aviva as it develops its annuity range.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“Together, we can combine innovation with operational excellence to set a new standard for the annuities market,” he said.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modernisation comes as advisers reassess decumulation strategies for clients approaching retirement.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Rising yields have driven renewed interest in guaranteed income, while Consumer Duty has increased scrutiny on suitability assessments for drawdown in later life.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neymarketing.co.uk/tag/aviva/page/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