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color w:val="1b1b1b"/>
          <w:sz w:val="27"/>
          <w:szCs w:val="27"/>
        </w:rPr>
      </w:pPr>
      <w:bookmarkStart w:colFirst="0" w:colLast="0" w:name="_ur8wbgp8f59g" w:id="0"/>
      <w:bookmarkEnd w:id="0"/>
      <w:r w:rsidDel="00000000" w:rsidR="00000000" w:rsidRPr="00000000">
        <w:rPr>
          <w:b w:val="1"/>
          <w:bCs w:val="1"/>
          <w:color w:val="1b1b1b"/>
          <w:sz w:val="90"/>
          <w:szCs w:val="90"/>
          <w:rtl w:val="0"/>
        </w:rPr>
        <w:t xml:space="preserve">Is it third time lucky for Axa as it merges divisions again?</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Content Director’s View: With Axa UK and Ireland combining its personal and commercial businesses into one, Jonathan Swift reflects on why insurers often oscillate between splitting and merging these divisions, and what led the insurer to believe this latest move will pay off now despite similar attempts in 2005 and 2016.</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In March, Axa UK &amp; Ireland announced plans to combine its retail and commercial arms under a single structure, called Axa Insurance UK. </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