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color w:val="1b1b1b"/>
          <w:sz w:val="27"/>
          <w:szCs w:val="27"/>
        </w:rPr>
      </w:pPr>
      <w:bookmarkStart w:colFirst="0" w:colLast="0" w:name="_s1evm7weg0nz" w:id="0"/>
      <w:bookmarkEnd w:id="0"/>
      <w:r w:rsidDel="00000000" w:rsidR="00000000" w:rsidRPr="00000000">
        <w:rPr>
          <w:b w:val="1"/>
          <w:bCs w:val="1"/>
          <w:color w:val="1b1b1b"/>
          <w:sz w:val="90"/>
          <w:szCs w:val="90"/>
          <w:rtl w:val="0"/>
        </w:rPr>
        <w:t xml:space="preserve">Axa acquires Prima</w:t>
      </w:r>
      <w:r w:rsidDel="00000000" w:rsidR="00000000" w:rsidRPr="00000000">
        <w:rPr>
          <w:rtl w:val="0"/>
        </w:rPr>
      </w:r>
    </w:p>
    <w:p w:rsidR="00000000" w:rsidDel="00000000" w:rsidP="00000000" w:rsidRDefault="00000000" w:rsidRPr="00000000" w14:paraId="00000002">
      <w:pPr>
        <w:spacing w:after="280" w:before="280" w:lineRule="auto"/>
        <w:rPr>
          <w:b w:val="1"/>
          <w:bCs w:val="1"/>
          <w:color w:val="1b1b1b"/>
          <w:sz w:val="27"/>
          <w:szCs w:val="27"/>
        </w:rPr>
      </w:pPr>
      <w:r w:rsidDel="00000000" w:rsidR="00000000" w:rsidRPr="00000000">
        <w:rPr>
          <w:b w:val="1"/>
          <w:bCs w:val="1"/>
          <w:color w:val="1b1b1b"/>
          <w:sz w:val="27"/>
          <w:szCs w:val="27"/>
          <w:rtl w:val="0"/>
        </w:rPr>
        <w:t xml:space="preserve">Axa has acquired 51% of Italian insurtech Prima, including its UK business, for €500m (£433.4m).</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completion of the transaction is expected to take place by the end of 2025, subject to regulatory approval.</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Prima had €1.2bn (£1.04bn) of premiums in 2024, with a 90% combined ratio, and holds 10% of the overall market share in Italy’s retail motor space. Its net income in Italy stands at €87m (£75.4m).</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Spain and UK expansion recently took place, and Prima records a net income of €12m (£10.4m) from those markets.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acquisition aims to strengthen Axa’s European direct distribution capabilities within property and casualty retail by catering to a growing demographic of “digitally savvy as well as price-sensitive” customers, as Prima has a modern technology platform and team of digital experts.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It also looks to enhance the insurer’s position in Italy by almost doubling the size of its motor business.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Patrick Cohen, CEO of Axa European markets and health, said: “We are excited to announce the acquisition of Prima, which will not only significantly enhance our position in the Italian P&amp;C market but also bring capabilities to strengthen our direct business in European markets.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“With Prima, we are acquiring a best-in-class direct player with a cutting-edge platform and a unique set of skills in serving customers. Together with the Prima team, we are confident we can further scale our direct business, expanding our market reach to customer segments that naturally complement those served by our traditional distribution channels.”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remaining 49% of the business has been granted to Axa and minority stakeholders through call or put options with an exercise price tied to Prima’s earnings.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This comes after </w:t>
      </w:r>
      <w:hyperlink r:id="rId6">
        <w:r w:rsidDel="00000000" w:rsidR="00000000" w:rsidRPr="00000000">
          <w:rPr>
            <w:color w:val="416ed2"/>
            <w:sz w:val="27"/>
            <w:szCs w:val="27"/>
            <w:rtl w:val="0"/>
          </w:rPr>
          <w:t xml:space="preserve">Axa Group released its first half of 2024 results</w:t>
        </w:r>
      </w:hyperlink>
      <w:r w:rsidDel="00000000" w:rsidR="00000000" w:rsidRPr="00000000">
        <w:rPr>
          <w:color w:val="1b1b1b"/>
          <w:sz w:val="27"/>
          <w:szCs w:val="27"/>
          <w:rtl w:val="0"/>
        </w:rPr>
        <w:t xml:space="preserve"> this morning (1 August), revealing the UK as the only European personal lines market to report a pricing decline.</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Prima itself has had hurdles to overcome. In November 2024, the Competition and Markets Authority </w:t>
      </w:r>
      <w:hyperlink r:id="rId7">
        <w:r w:rsidDel="00000000" w:rsidR="00000000" w:rsidRPr="00000000">
          <w:rPr>
            <w:color w:val="416ed2"/>
            <w:sz w:val="27"/>
            <w:szCs w:val="27"/>
            <w:rtl w:val="0"/>
          </w:rPr>
          <w:t xml:space="preserve">sent a letter to Prima</w:t>
        </w:r>
      </w:hyperlink>
      <w:r w:rsidDel="00000000" w:rsidR="00000000" w:rsidRPr="00000000">
        <w:rPr>
          <w:color w:val="1b1b1b"/>
          <w:sz w:val="27"/>
          <w:szCs w:val="27"/>
          <w:rtl w:val="0"/>
        </w:rPr>
        <w:t xml:space="preserve"> in relation to a series of breaches relating to no claims bonus that affected more than 38,000 customers.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 CMA letter stated this affected 10,217 customers, meaning a total breach value of just over £300,000.</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ostonline.co.uk/news/7958294/uk-only-soft-spot-in-axa%E2%80%99s-personal-lines-pricing-growth" TargetMode="External"/><Relationship Id="rId7" Type="http://schemas.openxmlformats.org/officeDocument/2006/relationships/hyperlink" Target="https://www.postonline.co.uk/news/7956584/cma-criticises-prima-over-ps300k-ncb-breach?ref=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