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jlr70geg5n1w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Soft market tempers Axa UK’s personal lines gains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Axa Group has reported 5% growth in property and casualty gross written premiums to £58bn, driven by commercial lines and strong new business in personal lines globally, but softer pricing in UK &amp; Ireland dragged down personal lines rates.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According to Axa Group’s financial results, released yesterday (26 February), overall property and casualty gross written premium increased 5% compared to 2024 to £58bn.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Axa stated this growth was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