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git04jdbaj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BNP Paribas Cardif completes takeover of AXA IM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v2nce29ybdgo" w:id="1"/>
      <w:bookmarkEnd w:id="1"/>
      <w:r w:rsidDel="00000000" w:rsidR="00000000" w:rsidRPr="00000000">
        <w:rPr>
          <w:sz w:val="50"/>
          <w:szCs w:val="50"/>
          <w:rtl w:val="0"/>
        </w:rPr>
        <w:t xml:space="preserve">Expecting double digit ROIC by year three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deal allows the BNP Paribas Group to also become a leader in long-term savings management with close to €850bn in insurance and pension funds.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b w:val="1"/>
          <w:bCs w:val="1"/>
          <w:color w:val="416ed2"/>
          <w:sz w:val="27"/>
          <w:szCs w:val="27"/>
        </w:rPr>
      </w:pPr>
      <w:hyperlink r:id="rId6">
        <w:r w:rsidDel="00000000" w:rsidR="00000000" w:rsidRPr="00000000">
          <w:rPr>
            <w:b w:val="1"/>
            <w:bCs w:val="1"/>
            <w:color w:val="416ed2"/>
            <w:sz w:val="27"/>
            <w:szCs w:val="27"/>
            <w:rtl w:val="0"/>
          </w:rPr>
          <w:t xml:space="preserve">CQS Natural Resources Growth &amp; Income survives tender offer with almost half its shares sold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aims to be the leader in fund collection for private assets investments and among the top providers of ETFs in Europe.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416ed2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deal has been touted since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August 2024 with it expecting to cost €5.1bn at the time.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Combining AXA IM, BNP Paribas Asset Management and BNP Paribas REIM will found a platform with an expanded global distribution network, enhanced innovation and a more comprehensive offering in responsible investment, BNP Paribas noted.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Sandro Pierri, CEO of BNP Paribas AM, will lead the asset management arm and Marco Morelli, current executive chairman of AXA IM, will chair the group's asset management activities.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b w:val="1"/>
          <w:bCs w:val="1"/>
          <w:color w:val="416ed2"/>
          <w:sz w:val="27"/>
          <w:szCs w:val="27"/>
        </w:rPr>
      </w:pPr>
      <w:hyperlink r:id="rId8">
        <w:r w:rsidDel="00000000" w:rsidR="00000000" w:rsidRPr="00000000">
          <w:rPr>
            <w:b w:val="1"/>
            <w:bCs w:val="1"/>
            <w:color w:val="416ed2"/>
            <w:sz w:val="27"/>
            <w:szCs w:val="27"/>
            <w:rtl w:val="0"/>
          </w:rPr>
          <w:t xml:space="preserve">Fidelity poaches AXA IM's Marion Le Morhedec for global CIO fixed income 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Jean-Laurent Bonnafé, director and CEO of BNP Paribas, said: "This acquisition is an important moment for the entire BNP Paribas Group.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"These are teams with recognised and complementary expertise that will build together a European industrial project to better serve our clients."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French banking giant expects the deal to aid revenue growth by over 5% by 2024 with return on invested capital to be more than 14% in year three and more than 20% in year four.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vestmentweek.co.uk/news/4515649/cqs-natural-resources-growth-income-survives-tender-offer-half-shares-sold" TargetMode="External"/><Relationship Id="rId7" Type="http://schemas.openxmlformats.org/officeDocument/2006/relationships/hyperlink" Target="https://www.investmentweek.co.uk/news/4342525/axa-sell-investment-management-division-bnp-paribas-eur-4bn" TargetMode="External"/><Relationship Id="rId8" Type="http://schemas.openxmlformats.org/officeDocument/2006/relationships/hyperlink" Target="https://www.investmentweek.co.uk/news/4415051/fidelity-poaches-axa-ims-marion-le-morhedec-global-cio-fixed-income-r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