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opmeumk7kpzh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Axa finally wins £675m London battle with Santander over PPI payouts</w:t>
      </w:r>
    </w:p>
    <w:p w:rsidR="00000000" w:rsidDel="00000000" w:rsidP="00000000" w:rsidRDefault="00000000" w:rsidRPr="00000000" w14:paraId="00000002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French insurance giant Axa has emerged victorious in a London court battle against Santander over the mis-selling of payment protection insurance more than two decades ago.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£675million ruling against Santander centred on PPI policies sold before 2005 by GE Capital Bank, which was bought by Santander in 2009.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9"/>
          <w:szCs w:val="39"/>
        </w:rPr>
      </w:pPr>
      <w:bookmarkStart w:colFirst="0" w:colLast="0" w:name="_f9psj06bma2v" w:id="1"/>
      <w:bookmarkEnd w:id="1"/>
      <w:r w:rsidDel="00000000" w:rsidR="00000000" w:rsidRPr="00000000">
        <w:rPr>
          <w:b w:val="1"/>
          <w:bCs w:val="1"/>
          <w:color w:val="1b1b1b"/>
          <w:sz w:val="39"/>
          <w:szCs w:val="39"/>
          <w:rtl w:val="0"/>
        </w:rPr>
        <w:t xml:space="preserve">Share or comment on this article: Axa finally wins £675m London battle with Santander over PPI payouts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