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lineRule="auto"/>
        <w:ind w:right="340"/>
        <w:rPr>
          <w:b w:val="1"/>
          <w:bCs w:val="1"/>
          <w:color w:val="212121"/>
          <w:sz w:val="46"/>
          <w:szCs w:val="46"/>
        </w:rPr>
      </w:pPr>
      <w:bookmarkStart w:colFirst="0" w:colLast="0" w:name="_23mhferf7zk1" w:id="0"/>
      <w:bookmarkEnd w:id="0"/>
      <w:r w:rsidDel="00000000" w:rsidR="00000000" w:rsidRPr="00000000">
        <w:rPr>
          <w:b w:val="1"/>
          <w:bCs w:val="1"/>
          <w:color w:val="212121"/>
          <w:sz w:val="46"/>
          <w:szCs w:val="46"/>
          <w:rtl w:val="0"/>
        </w:rPr>
        <w:t xml:space="preserve">Insurance Times Awards 2025: Axa Commercial boosts retention 71% with AI onboarding tailored to gen Z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right="340"/>
        <w:rPr>
          <w:color w:val="888888"/>
        </w:rPr>
      </w:pPr>
      <w:r w:rsidDel="00000000" w:rsidR="00000000" w:rsidRPr="00000000">
        <w:rPr>
          <w:rtl w:val="0"/>
        </w:rPr>
        <w:t xml:space="preserve">By Insurance Times</w:t>
      </w:r>
      <w:r w:rsidDel="00000000" w:rsidR="00000000" w:rsidRPr="00000000">
        <w:rPr>
          <w:color w:val="888888"/>
          <w:rtl w:val="0"/>
        </w:rPr>
        <w:t xml:space="preserve"> 19 November 2025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lineRule="auto"/>
        <w:rPr>
          <w:b w:val="1"/>
          <w:bCs w:val="1"/>
          <w:color w:val="444444"/>
          <w:sz w:val="24"/>
          <w:szCs w:val="24"/>
        </w:rPr>
      </w:pPr>
      <w:r w:rsidDel="00000000" w:rsidR="00000000" w:rsidRPr="00000000">
        <w:rPr>
          <w:b w:val="1"/>
          <w:bCs w:val="1"/>
          <w:color w:val="444444"/>
          <w:sz w:val="24"/>
          <w:szCs w:val="24"/>
          <w:rtl w:val="0"/>
        </w:rPr>
        <w:t xml:space="preserve">Tina Higgins, head of claims development at Axa Commercial, discusses her firm’s entry to the Excellence in Professional Development category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