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460" w:before="0" w:line="291.38399999999996" w:lineRule="auto"/>
        <w:rPr>
          <w:b w:val="1"/>
          <w:bCs w:val="1"/>
          <w:color w:val="1b1b1b"/>
          <w:sz w:val="90"/>
          <w:szCs w:val="90"/>
        </w:rPr>
      </w:pPr>
      <w:bookmarkStart w:colFirst="0" w:colLast="0" w:name="_xdpl6yhu4arq" w:id="0"/>
      <w:bookmarkEnd w:id="0"/>
      <w:r w:rsidDel="00000000" w:rsidR="00000000" w:rsidRPr="00000000">
        <w:rPr>
          <w:b w:val="1"/>
          <w:bCs w:val="1"/>
          <w:color w:val="1b1b1b"/>
          <w:sz w:val="90"/>
          <w:szCs w:val="90"/>
          <w:rtl w:val="0"/>
        </w:rPr>
        <w:t xml:space="preserve">AXA life and health premiums up 9% in Q3 2025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before="0" w:line="305.46" w:lineRule="auto"/>
        <w:rPr>
          <w:sz w:val="50"/>
          <w:szCs w:val="50"/>
        </w:rPr>
      </w:pPr>
      <w:bookmarkStart w:colFirst="0" w:colLast="0" w:name="_3o2ory893rsx" w:id="1"/>
      <w:bookmarkEnd w:id="1"/>
      <w:r w:rsidDel="00000000" w:rsidR="00000000" w:rsidRPr="00000000">
        <w:rPr>
          <w:sz w:val="50"/>
          <w:szCs w:val="50"/>
          <w:rtl w:val="0"/>
        </w:rPr>
        <w:t xml:space="preserve">Premiums hit €42.3bn (£37.3bn)</w:t>
      </w:r>
    </w:p>
    <w:p w:rsidR="00000000" w:rsidDel="00000000" w:rsidP="00000000" w:rsidRDefault="00000000" w:rsidRPr="00000000" w14:paraId="00000003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Overall, gross written premiums and other revenues increased by 7% to €89.4bn (£78.7bn), with property and casualty premiums up by 5% to €46.2bn (£40.7bn).</w:t>
      </w:r>
    </w:p>
    <w:p w:rsidR="00000000" w:rsidDel="00000000" w:rsidP="00000000" w:rsidRDefault="00000000" w:rsidRPr="00000000" w14:paraId="00000004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Health premiums increased by 5% to €14.5bn (£12.8bn), which AXA said was primarily driven by favourable price effects in both group and individual businesses across all geographies, partly offset by lower volumes.</w:t>
      </w:r>
    </w:p>
    <w:p w:rsidR="00000000" w:rsidDel="00000000" w:rsidP="00000000" w:rsidRDefault="00000000" w:rsidRPr="00000000" w14:paraId="00000005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Life insurance premiums also grew by 11% to €27.8bn (£24.5bn), driven by an 11% uplift in protection, notably in Hong Kong, Switzerland and Japan; a 17% rise in Unit-Linked plans from sales initiatives across all geographies; and a 9% increase in capital-light G/A Savings products (+9%).</w:t>
      </w:r>
    </w:p>
    <w:p w:rsidR="00000000" w:rsidDel="00000000" w:rsidP="00000000" w:rsidRDefault="00000000" w:rsidRPr="00000000" w14:paraId="00000006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Alban de Mailly Nesle, chief financial officer, AXA, said: "This performance reflects consistent execution of our organic growth strategy across all business lines and geographies."</w:t>
      </w:r>
    </w:p>
    <w:p w:rsidR="00000000" w:rsidDel="00000000" w:rsidP="00000000" w:rsidRDefault="00000000" w:rsidRPr="00000000" w14:paraId="00000007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"In life and health, premiums rose by 9%. Sales momentum in the Life business accelerated further, reflecting the success of our strategic initiatives, with premium growth at 11% in the first nine months, underpinned by good growth dynamics across Protection and Savings," Nesle said.</w:t>
      </w:r>
    </w:p>
    <w:p w:rsidR="00000000" w:rsidDel="00000000" w:rsidP="00000000" w:rsidRDefault="00000000" w:rsidRPr="00000000" w14:paraId="00000008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"This is driving positive Life and Savings net flows, from both higher sales and better persistency, and should fuel earnings growth over time. Health revenues were up 5%, driven by continued strong pricing."</w:t>
      </w:r>
    </w:p>
    <w:p w:rsidR="00000000" w:rsidDel="00000000" w:rsidP="00000000" w:rsidRDefault="00000000" w:rsidRPr="00000000" w14:paraId="00000009">
      <w:pPr>
        <w:spacing w:after="280" w:before="280" w:lineRule="auto"/>
        <w:rPr>
          <w:color w:val="1b1b1b"/>
          <w:sz w:val="27"/>
          <w:szCs w:val="27"/>
        </w:rPr>
      </w:pPr>
      <w:r w:rsidDel="00000000" w:rsidR="00000000" w:rsidRPr="00000000">
        <w:rPr>
          <w:color w:val="1b1b1b"/>
          <w:sz w:val="27"/>
          <w:szCs w:val="27"/>
          <w:rtl w:val="0"/>
        </w:rPr>
        <w:t xml:space="preserve">Looking ahead, AXA said: "The group expects to maintain its good operating performance and is confident in achieving underlying earnings per share growth in line with the 6%-8% CAGR plan target range over the 2023-2026E period."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