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1s1stb8itn3p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nvestment Week reveals winners of Sustainable Investment Awards 2025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color w:val="1b1b1b"/>
          <w:sz w:val="27"/>
          <w:szCs w:val="27"/>
        </w:rPr>
      </w:pPr>
      <w:bookmarkStart w:colFirst="0" w:colLast="0" w:name="_jhtr2x20osuz" w:id="1"/>
      <w:bookmarkEnd w:id="1"/>
      <w:r w:rsidDel="00000000" w:rsidR="00000000" w:rsidRPr="00000000">
        <w:rPr>
          <w:sz w:val="50"/>
          <w:szCs w:val="50"/>
          <w:rtl w:val="0"/>
        </w:rPr>
        <w:t xml:space="preserve">Identifying leaders and best practice in sustainable investing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>
          <w:b w:val="1"/>
          <w:bCs w:val="1"/>
          <w:color w:val="1b1b1b"/>
          <w:sz w:val="27"/>
          <w:szCs w:val="27"/>
        </w:rPr>
      </w:pPr>
      <w:r w:rsidDel="00000000" w:rsidR="00000000" w:rsidRPr="00000000">
        <w:rPr>
          <w:b w:val="1"/>
          <w:bCs w:val="1"/>
          <w:color w:val="1b1b1b"/>
          <w:sz w:val="27"/>
          <w:szCs w:val="27"/>
          <w:rtl w:val="0"/>
        </w:rPr>
        <w:t xml:space="preserve">Best Newcomer Sustainable Fund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Highly commended: AXA Carbon Transition Global Short Duration Bond Fund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