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48"/>
          <w:szCs w:val="48"/>
        </w:rPr>
        <w:t xml:space="preserve">POINT93</w:t>
      </w:r>
    </w:p>
    <w:p>
      <w:pPr>
        <w:spacing w:after="200"/>
        <w:jc w:val="center"/>
      </w:pPr>
      <w:r>
        <w:rPr>
          <w:rFonts w:ascii="Arial" w:cs="Arial" w:eastAsia="Arial" w:hAnsi="Arial"/>
          <w:color w:val="2E75B6"/>
          <w:sz w:val="28"/>
          <w:szCs w:val="28"/>
        </w:rPr>
        <w:t xml:space="preserve">CROSS-OVER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spacing w:after="100"/>
        <w:jc w:val="center"/>
      </w:pPr>
      <w:r>
        <w:rPr>
          <w:rFonts w:ascii="Arial" w:cs="Arial" w:eastAsia="Arial" w:hAnsi="Arial"/>
          <w:b/>
          <w:bCs/>
          <w:color w:val="1B3A5C"/>
          <w:sz w:val="40"/>
          <w:szCs w:val="40"/>
        </w:rPr>
        <w:t xml:space="preserve">CLIENT RETENTION RISK</w:t>
      </w:r>
    </w:p>
    <w:p>
      <w:pPr>
        <w:spacing w:after="100"/>
        <w:jc w:val="center"/>
      </w:pPr>
      <w:r>
        <w:rPr>
          <w:rFonts w:ascii="Arial" w:cs="Arial" w:eastAsia="Arial" w:hAnsi="Arial"/>
          <w:color w:val="2E75B6"/>
          <w:sz w:val="28"/>
          <w:szCs w:val="28"/>
        </w:rPr>
        <w:t xml:space="preserve">AI Output Reference</w:t>
      </w:r>
    </w:p>
    <w:p>
      <w:pPr>
        <w:spacing w:after="60"/>
      </w:pPr>
    </w:p>
    <w:p>
      <w:pPr>
        <w:spacing w:after="60"/>
        <w:jc w:val="center"/>
      </w:pPr>
      <w:r>
        <w:rPr>
          <w:rFonts w:ascii="Arial" w:cs="Arial" w:eastAsia="Arial" w:hAnsi="Arial"/>
          <w:color w:val="666666"/>
          <w:sz w:val="22"/>
          <w:szCs w:val="22"/>
        </w:rPr>
        <w:t xml:space="preserve">7 Stages • Advisor Self-Assessment • Competitive Intelligence</w:t>
      </w:r>
    </w:p>
    <w:p>
      <w:pPr>
        <w:spacing w:after="60"/>
        <w:jc w:val="center"/>
      </w:pPr>
      <w:r>
        <w:rPr>
          <w:rFonts w:ascii="Arial" w:cs="Arial" w:eastAsia="Arial" w:hAnsi="Arial"/>
          <w:color w:val="666666"/>
          <w:sz w:val="22"/>
          <w:szCs w:val="22"/>
        </w:rPr>
        <w:t xml:space="preserve">3-Phase Multi-Directional Threat Model (Foundation • Relationship • Vulnerability)</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0"/>
          <w:szCs w:val="20"/>
        </w:rPr>
        <w:t xml:space="preserve">Point93 • Confidential • February 2026</w:t>
      </w:r>
    </w:p>
    <w:p>
      <w:r>
        <w:br w:type="page"/>
      </w:r>
    </w:p>
    <w:p>
      <w:pPr>
        <w:pStyle w:val="Heading1"/>
        <w:spacing w:before="300" w:after="200"/>
      </w:pPr>
      <w:r>
        <w:rPr>
          <w:rFonts w:ascii="Arial" w:cs="Arial" w:eastAsia="Arial" w:hAnsi="Arial"/>
          <w:b/>
          <w:bCs/>
        </w:rPr>
        <w:t xml:space="preserve">SECTION 1: DOCUMENT PURPOSE</w:t>
      </w:r>
    </w:p>
    <w:p>
      <w:pPr>
        <w:spacing w:after="120"/>
      </w:pPr>
      <w:r>
        <w:rPr>
          <w:rFonts w:ascii="Arial" w:cs="Arial" w:eastAsia="Arial" w:hAnsi="Arial"/>
          <w:b w:val="false"/>
          <w:bCs w:val="false"/>
          <w:i w:val="false"/>
          <w:iCs w:val="false"/>
          <w:color w:val="000000"/>
          <w:sz w:val="22"/>
          <w:szCs w:val="22"/>
        </w:rPr>
        <w:t xml:space="preserve">This document provides AI agents with the complete reference framework for generating responses within the Client Retention Risk Cross-Over Intelligence deliverable. Client Retention Risk measures whether the advisor’s practice has built a relationship that’s hard to displace—not from one direction, but from every direction a competitor or dissatisfaction could enter.</w:t>
      </w:r>
    </w:p>
    <w:p>
      <w:pPr>
        <w:spacing w:after="60"/>
      </w:pPr>
    </w:p>
    <w:p>
      <w:pPr>
        <w:pStyle w:val="Heading2"/>
        <w:spacing w:before="300" w:after="200"/>
      </w:pPr>
      <w:r>
        <w:rPr>
          <w:rFonts w:ascii="Arial" w:cs="Arial" w:eastAsia="Arial" w:hAnsi="Arial"/>
          <w:b/>
          <w:bCs/>
        </w:rPr>
        <w:t xml:space="preserve">Key Principles</w:t>
      </w:r>
    </w:p>
    <w:p>
      <w:pPr>
        <w:spacing w:after="120"/>
      </w:pPr>
      <w:r>
        <w:rPr>
          <w:rFonts w:ascii="Arial" w:cs="Arial" w:eastAsia="Arial" w:hAnsi="Arial"/>
          <w:b/>
          <w:bCs/>
          <w:sz w:val="22"/>
          <w:szCs w:val="22"/>
        </w:rPr>
        <w:t xml:space="preserve">1. Multi-Directional Threat: </w:t>
      </w:r>
      <w:r>
        <w:rPr>
          <w:rFonts w:ascii="Arial" w:cs="Arial" w:eastAsia="Arial" w:hAnsi="Arial"/>
          <w:sz w:val="22"/>
          <w:szCs w:val="22"/>
        </w:rPr>
        <w:t xml:space="preserve">Unlike Client Referrals’ strict layer model or Head to Head’s sequential funnel, retention risk operates as a multi-directional threat—the client can be lost from any direction at any time. Any single Emerging stage can cost the advisor a client regardless of strength everywhere else.</w:t>
      </w:r>
    </w:p>
    <w:p>
      <w:pPr>
        <w:spacing w:after="120"/>
      </w:pPr>
      <w:r>
        <w:rPr>
          <w:rFonts w:ascii="Arial" w:cs="Arial" w:eastAsia="Arial" w:hAnsi="Arial"/>
          <w:b/>
          <w:bCs/>
          <w:sz w:val="22"/>
          <w:szCs w:val="22"/>
        </w:rPr>
        <w:t xml:space="preserve">2. The Open Door Metaphor: </w:t>
      </w:r>
      <w:r>
        <w:rPr>
          <w:rFonts w:ascii="Arial" w:cs="Arial" w:eastAsia="Arial" w:hAnsi="Arial"/>
          <w:sz w:val="22"/>
          <w:szCs w:val="22"/>
        </w:rPr>
        <w:t xml:space="preserve">Retention risk is about doors—locked, closed, ajar, or open. Elite = locked door. Emerging = open door. A competitor only needs to find the one door the advisor left open.</w:t>
      </w:r>
    </w:p>
    <w:p>
      <w:pPr>
        <w:spacing w:after="120"/>
      </w:pPr>
      <w:r>
        <w:rPr>
          <w:rFonts w:ascii="Arial" w:cs="Arial" w:eastAsia="Arial" w:hAnsi="Arial"/>
          <w:b/>
          <w:bCs/>
          <w:sz w:val="22"/>
          <w:szCs w:val="22"/>
        </w:rPr>
        <w:t xml:space="preserve">3. Inside AND Outside: </w:t>
      </w:r>
      <w:r>
        <w:rPr>
          <w:rFonts w:ascii="Arial" w:cs="Arial" w:eastAsia="Arial" w:hAnsi="Arial"/>
          <w:sz w:val="22"/>
          <w:szCs w:val="22"/>
        </w:rPr>
        <w:t xml:space="preserve">The back door opens from the inside (delivery drift, invisible value) and from the outside (competitive offers, specialist competition during transitions). Clients experience a single cumulative reality: is this relationship earning its place?</w:t>
      </w:r>
    </w:p>
    <w:p>
      <w:pPr>
        <w:spacing w:after="120"/>
      </w:pPr>
      <w:r>
        <w:rPr>
          <w:rFonts w:ascii="Arial" w:cs="Arial" w:eastAsia="Arial" w:hAnsi="Arial"/>
          <w:b/>
          <w:bCs/>
          <w:sz w:val="22"/>
          <w:szCs w:val="22"/>
        </w:rPr>
        <w:t xml:space="preserve">4. Perception Over Performance: </w:t>
      </w:r>
      <w:r>
        <w:rPr>
          <w:rFonts w:ascii="Arial" w:cs="Arial" w:eastAsia="Arial" w:hAnsi="Arial"/>
          <w:sz w:val="22"/>
          <w:szCs w:val="22"/>
        </w:rPr>
        <w:t xml:space="preserve">The advisor may be delivering tremendous value—but if the client can’t SEE it, it doesn’t exist for retention purposes. The gap between actual delivery and perceived delivery is the richest competitive vulnerability.</w:t>
      </w:r>
    </w:p>
    <w:p>
      <w:pPr>
        <w:spacing w:after="120"/>
      </w:pPr>
      <w:r>
        <w:rPr>
          <w:rFonts w:ascii="Arial" w:cs="Arial" w:eastAsia="Arial" w:hAnsi="Arial"/>
          <w:b/>
          <w:bCs/>
          <w:sz w:val="22"/>
          <w:szCs w:val="22"/>
        </w:rPr>
        <w:t xml:space="preserve">5. Band-Based Scoring: </w:t>
      </w:r>
      <w:r>
        <w:rPr>
          <w:rFonts w:ascii="Arial" w:cs="Arial" w:eastAsia="Arial" w:hAnsi="Arial"/>
          <w:sz w:val="22"/>
          <w:szCs w:val="22"/>
        </w:rPr>
        <w:t xml:space="preserve">Elite / Strong / Developing / Emerging from dynamic benchmarks.</w:t>
      </w:r>
    </w:p>
    <w:p>
      <w:pPr>
        <w:spacing w:after="120"/>
      </w:pPr>
      <w:r>
        <w:rPr>
          <w:rFonts w:ascii="Arial" w:cs="Arial" w:eastAsia="Arial" w:hAnsi="Arial"/>
          <w:b/>
          <w:bCs/>
          <w:sz w:val="22"/>
          <w:szCs w:val="22"/>
        </w:rPr>
        <w:t xml:space="preserve">6. Connective Tissue: </w:t>
      </w:r>
      <w:r>
        <w:rPr>
          <w:rFonts w:ascii="Arial" w:cs="Arial" w:eastAsia="Arial" w:hAnsi="Arial"/>
          <w:sz w:val="22"/>
          <w:szCs w:val="22"/>
        </w:rPr>
        <w:t xml:space="preserve">Client Retention Risk has the most cross-deliverable connections of any BI framework because retention is the connective tissue of the entire platform. Every capability measured elsewhere ultimately affects whether clients stay.</w:t>
      </w:r>
    </w:p>
    <w:p>
      <w:r>
        <w:br w:type="page"/>
      </w:r>
    </w:p>
    <w:p>
      <w:pPr>
        <w:pStyle w:val="Heading1"/>
        <w:spacing w:before="300" w:after="200"/>
      </w:pPr>
      <w:r>
        <w:rPr>
          <w:rFonts w:ascii="Arial" w:cs="Arial" w:eastAsia="Arial" w:hAnsi="Arial"/>
          <w:b/>
          <w:bCs/>
        </w:rPr>
        <w:t xml:space="preserve">SECTION 2: CLIENT RETENTION RISK OVERVIEW</w:t>
      </w:r>
    </w:p>
    <w:p>
      <w:pPr>
        <w:pStyle w:val="Heading2"/>
        <w:spacing w:before="300" w:after="200"/>
      </w:pPr>
      <w:r>
        <w:rPr>
          <w:rFonts w:ascii="Arial" w:cs="Arial" w:eastAsia="Arial" w:hAnsi="Arial"/>
          <w:b/>
          <w:bCs/>
        </w:rPr>
        <w:t xml:space="preserve">Framework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THE FOUNDATION (1–2)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Delivery Consistency, Value Visibility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practice delivering what was promised, and can the client see the value? When these fail, the door opens from the inside.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THE RELATIONSHIP (3–4)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Relationship Currency, Proactive Attention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the advisor’s knowledge current and the practice proactive? These create the switching cost that makes the relationship hard to leave.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THE VULNERABILITY (5–7)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 Readiness, Competitive Exposure, Retention Evolution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the practice prepared for high-risk moments, aware of competitive exposure, and evolving? These measure where the back door opens from the outside.</w:t>
            </w:r>
          </w:p>
        </w:tc>
      </w:tr>
    </w:tbl>
    <w:p>
      <w:pPr>
        <w:spacing w:after="60"/>
      </w:pPr>
    </w:p>
    <w:p>
      <w:pPr>
        <w:pStyle w:val="Heading2"/>
        <w:spacing w:before="300" w:after="200"/>
      </w:pPr>
      <w:r>
        <w:rPr>
          <w:rFonts w:ascii="Arial" w:cs="Arial" w:eastAsia="Arial" w:hAnsi="Arial"/>
          <w:b/>
          <w:bCs/>
        </w:rPr>
        <w:t xml:space="preserve">The 7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400"/>
        <w:gridCol w:w="50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 Client’s Question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Delivery Consistency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Am I getting what I was told I’d get—or have the promises faded?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Value Visibility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 I actually see what they’re doing for me—or am I just paying a fee?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Relationship Currency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Relationship</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my advisor still know me—or am I just another account?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Proactive Attention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Relationship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 my advisor ahead of me—or do I always have to bring things up?</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Transition Readiness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something big happens, will they be there—or will I have to go find help?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Competitive Exposure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Vulnerability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 someone showed me what I’m missing, would I be surprised?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Retention Evolution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Vulnerability</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 this relationship getting better—or has it plateaued?</w:t>
            </w:r>
          </w:p>
        </w:tc>
      </w:tr>
    </w:tbl>
    <w:p>
      <w:pPr>
        <w:spacing w:after="60"/>
      </w:pPr>
    </w:p>
    <w:p>
      <w:pPr>
        <w:pStyle w:val="Heading2"/>
        <w:spacing w:before="300" w:after="200"/>
      </w:pPr>
      <w:r>
        <w:rPr>
          <w:rFonts w:ascii="Arial" w:cs="Arial" w:eastAsia="Arial" w:hAnsi="Arial"/>
          <w:b/>
          <w:bCs/>
        </w:rPr>
        <w:t xml:space="preserve">The Core Insight</w:t>
      </w:r>
    </w:p>
    <w:p>
      <w:pPr>
        <w:spacing w:after="120"/>
      </w:pPr>
      <w:r>
        <w:rPr>
          <w:rFonts w:ascii="Arial" w:cs="Arial" w:eastAsia="Arial" w:hAnsi="Arial"/>
          <w:b w:val="false"/>
          <w:bCs w:val="false"/>
          <w:i w:val="false"/>
          <w:iCs w:val="false"/>
          <w:color w:val="000000"/>
          <w:sz w:val="22"/>
          <w:szCs w:val="22"/>
        </w:rPr>
        <w:t xml:space="preserve">Client retention risk comes from two directions simultaneously, and they can’t be separated. The back door opens from the inside when the advisor’s practice fails to deliver what’s required—service drifts, value becomes invisible, the relationship goes stale. The back door opens from the outside when a competitor shows the client something they didn’t know they were missing. Every service gap IS a competitive vulnerability. Every unlocked back door IS a delivery failure—either a failure to deliver what’s needed or a failure to make delivered value visible.</w:t>
      </w:r>
    </w:p>
    <w:p>
      <w:r>
        <w:br w:type="page"/>
      </w:r>
    </w:p>
    <w:p>
      <w:pPr>
        <w:pStyle w:val="Heading1"/>
        <w:spacing w:before="300" w:after="200"/>
      </w:pPr>
      <w:r>
        <w:rPr>
          <w:rFonts w:ascii="Arial" w:cs="Arial" w:eastAsia="Arial" w:hAnsi="Arial"/>
          <w:b/>
          <w:bCs/>
        </w:rPr>
        <w:t xml:space="preserve">SECTION 3: POSITION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Framing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7A3A"/>
                <w:sz w:val="20"/>
                <w:szCs w:val="20"/>
              </w:rPr>
              <w:t xml:space="preserve">Elite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 {elite_pct}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 This door is locked. The advisor’s practice in this dimension is structurally sound—a competitor would have difficulty finding an opening, and the client would experience meaningful loss in leaving.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{avg_pct}, &lt; {elite_pct}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Lean Into with awareness: The door is closed but not locked. Most clients would stay, but specific situations or a particularly strong competitor could find an opening.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D4A017"/>
                <w:sz w:val="20"/>
                <w:szCs w:val="20"/>
              </w:rPr>
              <w:t xml:space="preserve">Developing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&lt; {avg_pct}, ≥ ({avg_pct}−15)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 For: The door is ajar. Gaps exist that a competitor could exploit or that are creating quiet dissatisfaction the advisor may not see.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Emerging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({avg_pct}−15)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 (Critical): The door is open. Significant vulnerability—clients retained by inertia, not by practice strength. Active competitive pressure here would likely succeed.</w:t>
            </w:r>
          </w:p>
        </w:tc>
      </w:tr>
    </w:tbl>
    <w:p>
      <w:r>
        <w:br w:type="page"/>
      </w:r>
    </w:p>
    <w:p>
      <w:pPr>
        <w:pStyle w:val="Heading1"/>
        <w:spacing w:before="300" w:after="200"/>
      </w:pPr>
      <w:r>
        <w:rPr>
          <w:rFonts w:ascii="Arial" w:cs="Arial" w:eastAsia="Arial" w:hAnsi="Arial"/>
          <w:b/>
          <w:bCs/>
        </w:rPr>
        <w:t xml:space="preserve">SECTION 4: OUTPUT SPECIFICATIONS</w:t>
      </w:r>
    </w:p>
    <w:p>
      <w:pPr>
        <w:pStyle w:val="Heading2"/>
        <w:spacing w:before="300" w:after="200"/>
      </w:pPr>
      <w:r>
        <w:rPr>
          <w:rFonts w:ascii="Arial" w:cs="Arial" w:eastAsia="Arial" w:hAnsi="Arial"/>
          <w:b/>
          <w:bCs/>
        </w:rPr>
        <w:t xml:space="preserve">Level 1: Overall Client Retention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Retention Risk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100–150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Synthesizes all 7 stages into multi-directional vulnerability narrative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Door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Identifies which doors are open and from which direction (inside vs. outside)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Strongest Lock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dimension most protecting the practice from displacement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 Dangerous Opening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stage most likely to cost the advisor a client—often the one they’re least aware of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Multi-Directional Alert (conditional)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Triggers when multiple phases have Developing/Emerging stages creating compounding vulnerability</w:t>
            </w:r>
          </w:p>
        </w:tc>
      </w:tr>
    </w:tbl>
    <w:p>
      <w:pPr>
        <w:spacing w:after="60"/>
      </w:pPr>
    </w:p>
    <w:p>
      <w:pPr>
        <w:pStyle w:val="Heading2"/>
        <w:spacing w:before="300" w:after="200"/>
      </w:pPr>
      <w:r>
        <w:rPr>
          <w:rFonts w:ascii="Arial" w:cs="Arial" w:eastAsia="Arial" w:hAnsi="Arial"/>
          <w:b/>
          <w:bCs/>
        </w:rPr>
        <w:t xml:space="preserve">Level 2: Phase-Level (3×3=9)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retention positioning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Lock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the practice is defensible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Opening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Where the practice is exposed</w:t>
            </w:r>
          </w:p>
        </w:tc>
      </w:tr>
    </w:tbl>
    <w:p>
      <w:pPr>
        <w:spacing w:after="60"/>
      </w:pPr>
    </w:p>
    <w:p>
      <w:pPr>
        <w:pStyle w:val="Heading2"/>
        <w:spacing w:before="300" w:after="200"/>
      </w:pPr>
      <w:r>
        <w:rPr>
          <w:rFonts w:ascii="Arial" w:cs="Arial" w:eastAsia="Arial" w:hAnsi="Arial"/>
          <w:b/>
          <w:bCs/>
        </w:rPr>
        <w:t xml:space="preserve">Level 3: Stage-Level (7×7=49)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Position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20–30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Band + door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 Insight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Retention intelligence revelation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Lean Into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Structural retention strength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Watch For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the back door opens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 Highlights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40–60 each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findings per dimension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Driver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Retention impact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conflicts across platform</w:t>
            </w:r>
          </w:p>
        </w:tc>
      </w:tr>
    </w:tbl>
    <w:p>
      <w:r>
        <w:br w:type="page"/>
      </w:r>
    </w:p>
    <w:p>
      <w:pPr>
        <w:pStyle w:val="Heading1"/>
        <w:spacing w:before="300" w:after="200"/>
      </w:pPr>
      <w:r>
        <w:rPr>
          <w:rFonts w:ascii="Arial" w:cs="Arial" w:eastAsia="Arial" w:hAnsi="Arial"/>
          <w:b/>
          <w:bCs/>
        </w:rPr>
        <w:t xml:space="preserve">SECTION 5: AI VOICE &amp; TONE</w:t>
      </w:r>
    </w:p>
    <w:p>
      <w:pPr>
        <w:spacing w:after="120"/>
      </w:pPr>
      <w:r>
        <w:rPr>
          <w:rFonts w:ascii="Arial" w:cs="Arial" w:eastAsia="Arial" w:hAnsi="Arial"/>
          <w:b/>
          <w:bCs/>
          <w:sz w:val="22"/>
          <w:szCs w:val="22"/>
        </w:rPr>
        <w:t xml:space="preserve">1. Diagnostic, Not Alarming: </w:t>
      </w:r>
      <w:r>
        <w:rPr>
          <w:rFonts w:ascii="Arial" w:cs="Arial" w:eastAsia="Arial" w:hAnsi="Arial"/>
          <w:sz w:val="22"/>
          <w:szCs w:val="22"/>
        </w:rPr>
        <w:t xml:space="preserve">Retention risk language should feel like a practice audit—precise, evidence-based, revealing what the advisor can’t see on their own. Not panic-inducing but genuinely clarifying.</w:t>
      </w:r>
    </w:p>
    <w:p>
      <w:pPr>
        <w:spacing w:after="120"/>
      </w:pPr>
      <w:r>
        <w:rPr>
          <w:rFonts w:ascii="Arial" w:cs="Arial" w:eastAsia="Arial" w:hAnsi="Arial"/>
          <w:b/>
          <w:bCs/>
          <w:sz w:val="22"/>
          <w:szCs w:val="22"/>
        </w:rPr>
        <w:t xml:space="preserve">2. The Door Metaphor: </w:t>
      </w:r>
      <w:r>
        <w:rPr>
          <w:rFonts w:ascii="Arial" w:cs="Arial" w:eastAsia="Arial" w:hAnsi="Arial"/>
          <w:sz w:val="22"/>
          <w:szCs w:val="22"/>
        </w:rPr>
        <w:t xml:space="preserve">Use door language consistently: locked, closed, ajar, open. This creates a visceral, memorable framing the advisor can visualize across their entire practice.</w:t>
      </w:r>
    </w:p>
    <w:p>
      <w:pPr>
        <w:spacing w:after="120"/>
      </w:pPr>
      <w:r>
        <w:rPr>
          <w:rFonts w:ascii="Arial" w:cs="Arial" w:eastAsia="Arial" w:hAnsi="Arial"/>
          <w:b/>
          <w:bCs/>
          <w:sz w:val="22"/>
          <w:szCs w:val="22"/>
        </w:rPr>
        <w:t xml:space="preserve">3. Inside AND Outside: </w:t>
      </w:r>
      <w:r>
        <w:rPr>
          <w:rFonts w:ascii="Arial" w:cs="Arial" w:eastAsia="Arial" w:hAnsi="Arial"/>
          <w:sz w:val="22"/>
          <w:szCs w:val="22"/>
        </w:rPr>
        <w:t xml:space="preserve">Always specify direction of threat. “The door opens from the inside” (service drift, invisible value) vs. “from the outside” (competitor, specialist, stagnation) helps the advisor understand WHERE the risk lives.</w:t>
      </w:r>
    </w:p>
    <w:p>
      <w:pPr>
        <w:spacing w:after="120"/>
      </w:pPr>
      <w:r>
        <w:rPr>
          <w:rFonts w:ascii="Arial" w:cs="Arial" w:eastAsia="Arial" w:hAnsi="Arial"/>
          <w:b/>
          <w:bCs/>
          <w:sz w:val="22"/>
          <w:szCs w:val="22"/>
        </w:rPr>
        <w:t xml:space="preserve">4. Perception Trumps Reality: </w:t>
      </w:r>
      <w:r>
        <w:rPr>
          <w:rFonts w:ascii="Arial" w:cs="Arial" w:eastAsia="Arial" w:hAnsi="Arial"/>
          <w:sz w:val="22"/>
          <w:szCs w:val="22"/>
        </w:rPr>
        <w:t xml:space="preserve">The advisor’s actual performance matters less than the client’s perception. AI should frequently reference this gap: “You may be doing this—but if the client can’t see it, it doesn’t protect you.”</w:t>
      </w:r>
    </w:p>
    <w:p>
      <w:pPr>
        <w:spacing w:after="120"/>
      </w:pPr>
      <w:r>
        <w:rPr>
          <w:rFonts w:ascii="Arial" w:cs="Arial" w:eastAsia="Arial" w:hAnsi="Arial"/>
          <w:b/>
          <w:bCs/>
          <w:sz w:val="22"/>
          <w:szCs w:val="22"/>
        </w:rPr>
        <w:t xml:space="preserve">5. The One Open Door: </w:t>
      </w:r>
      <w:r>
        <w:rPr>
          <w:rFonts w:ascii="Arial" w:cs="Arial" w:eastAsia="Arial" w:hAnsi="Arial"/>
          <w:sz w:val="22"/>
          <w:szCs w:val="22"/>
        </w:rPr>
        <w:t xml:space="preserve">Consistently reinforce that a single Emerging stage can cost the advisor a client regardless of strength everywhere else. The multi-directional model means no stage is “safe to ignore.”</w:t>
      </w:r>
    </w:p>
    <w:p>
      <w:r>
        <w:br w:type="page"/>
      </w:r>
    </w:p>
    <w:p>
      <w:pPr>
        <w:pStyle w:val="Heading1"/>
        <w:spacing w:before="300" w:after="200"/>
      </w:pPr>
      <w:r>
        <w:rPr>
          <w:rFonts w:ascii="Arial" w:cs="Arial" w:eastAsia="Arial" w:hAnsi="Arial"/>
          <w:b/>
          <w:bCs/>
        </w:rPr>
        <w:t xml:space="preserve">SECTION 6: OUTPUT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risk as multi-directional—threats come from any direction at any 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 risk as sequential—unlike Head to Head’s funnel, retention risk doesn’t flow linearly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the door metaphor consistently (locked/closed/ajar/open)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generic language like “strength” or “weakness” without specifying which door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Specify threat direction: inside (service, visibility) vs. outside (competition, transitions)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Treat all risk as the same type—direction matters for the advisor’s response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Emphasize perception over performance—value delivered but invisible is value that doesn’t protect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Assume good delivery equals retention—the visibility gap is the #1 vulnerability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Surface the one-open-door principle—any single Emerging stage is dangerous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Soften Emerging stages by averaging with strong ones—the weak point is the risk, not the average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cross-deliverable connections heavily—retention touches everything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Treat Retention Risk in isolation from other BI areas</w:t>
            </w:r>
          </w:p>
        </w:tc>
      </w:tr>
    </w:tbl>
    <w:p>
      <w:r>
        <w:br w:type="page"/>
      </w:r>
    </w:p>
    <w:p>
      <w:pPr>
        <w:pStyle w:val="Heading1"/>
        <w:spacing w:before="300" w:after="200"/>
      </w:pPr>
      <w:r>
        <w:rPr>
          <w:rFonts w:ascii="Arial" w:cs="Arial" w:eastAsia="Arial" w:hAnsi="Arial"/>
          <w:b/>
          <w:bCs/>
        </w:rPr>
        <w:t xml:space="preserve">SECTION 7: COMPLETE STAGE REFERENCE</w:t>
      </w:r>
    </w:p>
    <w:p>
      <w:pPr>
        <w:spacing w:after="60"/>
      </w:pPr>
    </w:p>
    <w:p>
      <w:pPr>
        <w:pStyle w:val="Heading2"/>
        <w:spacing w:before="300" w:after="200"/>
      </w:pPr>
      <w:r>
        <w:rPr>
          <w:rFonts w:ascii="Arial" w:cs="Arial" w:eastAsia="Arial" w:hAnsi="Arial"/>
          <w:b/>
          <w:bCs/>
        </w:rPr>
        <w:t xml:space="preserve">Stage 1: Your Delivery Consistency</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FOUNDATION</w:t>
      </w:r>
    </w:p>
    <w:p>
      <w:pPr>
        <w:spacing w:after="120"/>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“Am I getting what I was told I’d get—or have the promises faded?”</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Model Integrity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service elements promised during onboarding are still being delivered without quiet reduction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Meeting Quality Trajectory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meeting quality has maintained or improved from early relationship through current reviews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Reliability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response time to client inquiries has remained consistent or gradually lengthened as the relationship matured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Onboarding-to-Ongoing Gap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can honestly assess the difference between the experience delivered in the first 6 months versus the most recent 6 months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This is the most fundamental retention requirement and the most commonly violated. The gap between expected and actual service is the single strongest predictor of attrition—more than fee sensitivity, investment performance, or competitive offers. The client measures current service against the promise that won them, not against an abstract standard.</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2 (Service Consistency)—both measure delivery reliability. Referrals assesses whether consistency builds advocacy; Retention assesses whether inconsistency creates departure vulnerability. PitchPerfect Stage 8 (Service Model)—PitchPerfect measures whether the service promise wins prospects; Retention measures whether ongoing delivery protects the clients already won.</w:t>
      </w:r>
    </w:p>
    <w:p>
      <w:pPr>
        <w:spacing w:after="60"/>
      </w:pPr>
    </w:p>
    <w:p>
      <w:pPr>
        <w:pStyle w:val="Heading2"/>
        <w:spacing w:before="300" w:after="200"/>
      </w:pPr>
      <w:r>
        <w:rPr>
          <w:rFonts w:ascii="Arial" w:cs="Arial" w:eastAsia="Arial" w:hAnsi="Arial"/>
          <w:b/>
          <w:bCs/>
        </w:rPr>
        <w:t xml:space="preserve">Stage 2: Your Value Visibility</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FOUNDATION</w:t>
      </w:r>
    </w:p>
    <w:p>
      <w:pPr>
        <w:spacing w:after="120"/>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“Do I actually see what they’re doing for me—or am I just paying a fee?”</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Value Communication Systems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practice has structured methods for making the advisor’s work visible to clients—not just doing, but showing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Fee-to-Value Connection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client’s perception of value is anchored to comprehensive service or limited to investment returns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Invisible Work Surfacing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practice’s most important but least visible work is being communicated—tax harvesting, risk avoidance, estate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Visibility Standards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advisor’s value communication keeps pace with what clients see from competing advisors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silent killer of advisory relationships. A competitor who walks in and shows the client three things their current advisor “isn’t doing” wins—even if the current advisor IS doing all of them but never made them visible. The competitor doesn’t need to be better; they just need to be more visible.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5 (Value Clarity)—Referrals measures whether clients can articulate value to others; Retention measures whether clients can see value at all. Visibility precedes articulation. PitchPerfect Stage 9 (Fees)—PitchPerfect measures whether fee communication wins prospects; Retention measures whether ongoing value visibility protects against fee sensitivity.</w:t>
      </w:r>
    </w:p>
    <w:p>
      <w:pPr>
        <w:spacing w:after="60"/>
      </w:pPr>
    </w:p>
    <w:p>
      <w:pPr>
        <w:pStyle w:val="Heading2"/>
        <w:spacing w:before="300" w:after="200"/>
      </w:pPr>
      <w:r>
        <w:rPr>
          <w:rFonts w:ascii="Arial" w:cs="Arial" w:eastAsia="Arial" w:hAnsi="Arial"/>
          <w:b/>
          <w:bCs/>
        </w:rPr>
        <w:t xml:space="preserve">Stage 3: Your Relationship Currency</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RELATIONSHIP</w:t>
      </w:r>
    </w:p>
    <w:p>
      <w:pPr>
        <w:spacing w:after="120"/>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“Does my advisor still know me—or am I just another account?”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 Freshness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advisor’s understanding of each client reflects their current life—not who they were when they first signed 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Life Event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captures and acts on life changes as they happen—career shifts, health changes, family events, priority shifts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Household Coverage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relationship extends beyond a single contact—multi-generational or full-household relationships create structural retention depth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Relationship Depth Beyond Finances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personal knowledge goes beyond money into values, fears, and legacy—creating genuine switching cost a competitor cannot easily replicate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Relationships depreciate. The advisor who knew everything about the client three years ago may be operating on outdated information. A competitor who asks better questions TODAY—who demonstrates curiosity about the client’s current reality—displaces a relationship built on knowledge that’s no longer current. The competitor doesn’t need years of history. They just need to know the client NOW better than the incumbent does.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Stages 3, 5—Discovery measures initial depth and partnership; Retention measures whether that knowledge stays current as the client’s life evolves.</w:t>
      </w:r>
    </w:p>
    <w:p>
      <w:pPr>
        <w:spacing w:after="60"/>
      </w:pPr>
    </w:p>
    <w:p>
      <w:pPr>
        <w:pStyle w:val="Heading2"/>
        <w:spacing w:before="300" w:after="200"/>
      </w:pPr>
      <w:r>
        <w:rPr>
          <w:rFonts w:ascii="Arial" w:cs="Arial" w:eastAsia="Arial" w:hAnsi="Arial"/>
          <w:b/>
          <w:bCs/>
        </w:rPr>
        <w:t xml:space="preserve">Stage 4: Your Proactive Attention</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RELATIONSHIP</w:t>
      </w:r>
    </w:p>
    <w:p>
      <w:pPr>
        <w:spacing w:after="120"/>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“Is my advisor ahead of me—or do I always have to bring things up?”</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Anticipation Track Record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consistently raises topics before the client does—or whether clients are regularly the first to surface important issues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First-Source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client hears relevant financial information from their advisor before the news, before friends, before competitors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Personalized Outreach Quality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proactive outreach demonstrates individual attention—the client knows their advisor is thinking about their specific situation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Between-Meeting Engagement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maintains meaningful contact between formal reviews or disappears until the next scheduled meeting</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Every time a client has to initiate a conversation the advisor should have started, the relationship loses a degree of irreplaceability. The client whose advisor called them first—“I’ve been thinking about your situation”—has experienced the value of someone thinking about their financial life when they’re not. The advisor who waits to be asked is replaceable by any advisor who learns to ask.</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 4 (Listening)—Listening measures real-time responsiveness during meetings; Proactive Attention measures ongoing anticipation between meetings. Client Referrals Stage 4 (Top-of-Mind)—Referrals measures staying in mind for referral purposes; Retention measures staying ahead of needs.</w:t>
      </w:r>
    </w:p>
    <w:p>
      <w:pPr>
        <w:spacing w:after="60"/>
      </w:pPr>
    </w:p>
    <w:p>
      <w:pPr>
        <w:pStyle w:val="Heading2"/>
        <w:spacing w:before="300" w:after="200"/>
      </w:pPr>
      <w:r>
        <w:rPr>
          <w:rFonts w:ascii="Arial" w:cs="Arial" w:eastAsia="Arial" w:hAnsi="Arial"/>
          <w:b/>
          <w:bCs/>
        </w:rPr>
        <w:t xml:space="preserve">Stage 5: Your Transition Readiness</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VULNERABILITY</w:t>
      </w:r>
    </w:p>
    <w:p>
      <w:pPr>
        <w:spacing w:after="120"/>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“When something big happens, will they be there—or will I have to go find help?”</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 Anticipation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identifies upcoming transitions before they arrive—retirement timelines, aging parents, career risk, health trends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Professional Network Depth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a deep professional network allows the advisor to quarterback transitions beyond core expertise—the client never needs to find their own specialists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Transition Playbook Maturity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documented processes exist for major life events or whether each transition is handled ad hoc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Practice Continuity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documented continuity ensures the client is protected during the advisor’s own unavailability—no single point of failure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Life transitions are the highest-risk retention moments. Retirement, divorce, inheritance, business sale, death of a spouse, health crisis. These are the moments when clients reevaluate everything—including their advisor. The advisor who is already positioned when the transition arrives retains the client. The one caught off guard sends the client into the market—where every specialist brings a competing advisor recommendation.</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COI Referrals Stage 3 (Mutual Value)—COI measures partnership value with professionals; Transition Readiness measures whether those relationships protect retention during transitions. Discovery Quality Stage 3—both touch understanding the client’s complete situation.</w:t>
      </w:r>
    </w:p>
    <w:p>
      <w:pPr>
        <w:spacing w:after="60"/>
      </w:pPr>
    </w:p>
    <w:p>
      <w:pPr>
        <w:pStyle w:val="Heading2"/>
        <w:spacing w:before="300" w:after="200"/>
      </w:pPr>
      <w:r>
        <w:rPr>
          <w:rFonts w:ascii="Arial" w:cs="Arial" w:eastAsia="Arial" w:hAnsi="Arial"/>
          <w:b/>
          <w:bCs/>
        </w:rPr>
        <w:t xml:space="preserve">Stage 6: Your Competitive Exposure</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VULNERABILITY</w:t>
      </w:r>
    </w:p>
    <w:p>
      <w:pPr>
        <w:spacing w:after="120"/>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“If someone showed me what I’m missing, would I be surprised?”</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Gap Awareness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has assessed where specific capability, technology, or service gaps create vulnerability to competitive comparison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Technology Currency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technology stack meets or exceeds market standards—the client’s digital experience isn’t the weakness a competitor highlights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Satisfaction Signals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any mechanism exists for gauging genuine client satisfaction beyond retention itself—or whether the first signal of trouble is the transfer request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Activity Awareness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advisor has any awareness of when clients are receiving outreach from competitors—through COIs, workplace programs, social connections, or direct prospecting</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Most advisors don’t know when they’re being shopped. The client hears about capabilities, technology, or planning depth they didn’t know they were missing. The comparison doesn’t need to be fair—it just needs to reveal a gap the current advisor never addressed. The advisor’s assumption that “my clients aren’t being courted” is almost always wrong.</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6 (Investment Approach)—PitchPerfect tests whether the approach wins competitive pitches; Retention tests whether it withstands comparison when competitors pitch existing clients. Head to Head—measures known competitive situations; Competitive Exposure measures the invisible competition.</w:t>
      </w:r>
    </w:p>
    <w:p>
      <w:pPr>
        <w:spacing w:after="60"/>
      </w:pPr>
    </w:p>
    <w:p>
      <w:pPr>
        <w:pStyle w:val="Heading2"/>
        <w:spacing w:before="300" w:after="200"/>
      </w:pPr>
      <w:r>
        <w:rPr>
          <w:rFonts w:ascii="Arial" w:cs="Arial" w:eastAsia="Arial" w:hAnsi="Arial"/>
          <w:b/>
          <w:bCs/>
        </w:rPr>
        <w:t xml:space="preserve">Stage 7: Your Retention Evolution</w:t>
      </w:r>
    </w:p>
    <w:p>
      <w:pPr>
        <w:spacing w:after="120"/>
      </w:pPr>
      <w:r>
        <w:rPr>
          <w:rFonts w:ascii="Arial" w:cs="Arial" w:eastAsia="Arial" w:hAnsi="Arial"/>
          <w:b/>
          <w:bCs/>
          <w:sz w:val="22"/>
          <w:szCs w:val="22"/>
        </w:rPr>
        <w:t xml:space="preserve">Phase: THE </w:t>
      </w:r>
      <w:r>
        <w:rPr>
          <w:rFonts w:ascii="Arial" w:cs="Arial" w:eastAsia="Arial" w:hAnsi="Arial"/>
          <w:b/>
          <w:bCs/>
          <w:sz w:val="22"/>
          <w:szCs w:val="22"/>
        </w:rPr>
        <w:t xml:space="preserve">VULNERABILITY</w:t>
      </w:r>
    </w:p>
    <w:p>
      <w:pPr>
        <w:spacing w:after="120"/>
      </w:pPr>
      <w:r>
        <w:rPr>
          <w:rFonts w:ascii="Arial" w:cs="Arial" w:eastAsia="Arial" w:hAnsi="Arial"/>
          <w:b/>
          <w:bCs/>
          <w:i/>
          <w:iCs/>
          <w:sz w:val="22"/>
          <w:szCs w:val="22"/>
        </w:rPr>
        <w:t xml:space="preserve">The Client’s Question: </w:t>
      </w:r>
      <w:r>
        <w:rPr>
          <w:rFonts w:ascii="Arial" w:cs="Arial" w:eastAsia="Arial" w:hAnsi="Arial"/>
          <w:i/>
          <w:iCs/>
          <w:sz w:val="22"/>
          <w:szCs w:val="22"/>
        </w:rPr>
        <w:t xml:space="preserve">“Is this relationship getting better—or has it plateaued?”</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Visible Practice Improvement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client experience has been maintained and measurably enhanced—not just sustained but visibly improved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Adaptive Practice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the practice has evolved with changing conditions—reflecting current best practices, not historical ones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Competitive Benchmarking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the client experience has kept pace with what competitors now offer as standard—or whether the advisor’s premium has become the new 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Attrition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Whether client departures drive practice improvement or are dismissed—the pattern of loss holds the intelligence for preventing future loss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most dangerous retention position isn’t bad service. It’s stagnation. The relationship that felt great in year one and feels the same in year five is actually declining—because the client’s needs evolved, the market evolved, technology evolved, and the practice didn’t. A competitor doesn’t need to be dramatically better. They just need to be current.</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 7 (Evolution)—both measure whether the advisor’s approach improves over time. COI Referrals Stage 12 (Relationship Investment)—both measure ongoing investment and evolution. Client Referrals Stage 7 (Follow-Through)—both include evolution dimensions.</w:t>
      </w:r>
    </w:p>
    <w:p>
      <w:pPr>
        <w:spacing w:after="60"/>
      </w:pPr>
    </w:p>
    <w:p>
      <w:r>
        <w:br w:type="page"/>
      </w:r>
    </w:p>
    <w:p>
      <w:pPr>
        <w:pStyle w:val="Heading1"/>
        <w:spacing w:before="300" w:after="200"/>
      </w:pPr>
      <w:r>
        <w:rPr>
          <w:rFonts w:ascii="Arial" w:cs="Arial" w:eastAsia="Arial" w:hAnsi="Arial"/>
          <w:b/>
          <w:bCs/>
        </w:rPr>
        <w:t xml:space="preserve">SECTION 8: MULTI-DIRECTIONAL THREAT AI GUIDANCE</w:t>
      </w:r>
    </w:p>
    <w:p>
      <w:pPr>
        <w:spacing w:after="120"/>
      </w:pPr>
      <w:r>
        <w:rPr>
          <w:rFonts w:ascii="Arial" w:cs="Arial" w:eastAsia="Arial" w:hAnsi="Arial"/>
          <w:b w:val="false"/>
          <w:bCs w:val="false"/>
          <w:i w:val="false"/>
          <w:iCs w:val="false"/>
          <w:color w:val="000000"/>
          <w:sz w:val="22"/>
          <w:szCs w:val="22"/>
        </w:rPr>
        <w:t xml:space="preserve">Unlike Head to Head’s sequential funnel or Client Referrals’ strict layer model, Client Retention Risk operates as a multi-directional threat. The client can be lost from any direction at any time. The cascade shows how weakness spreads, but the critical insight is that any single Emerging stage—at any position—can be the one that costs the advisor a client.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Stage Is Weak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 Affected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1. Delivery Consistency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Stages 2–7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delivery drifts from the promise, every other capability is undermined. Value visibility can’t surface value that isn’t being delivered. Relationship depth can’t overcome a client who notices the gap.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2. Value Visibility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Stages 3–7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value is invisible, the client undervalues the relationship—making competitive offers more attractive, fee sensitivity higher, and the switching cost appear lower than it actually 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3. Relationship Currency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Stages 4–7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advisor’s knowledge is outdated, proactive attention targets the wrong things, transition preparation misses what matters, and the relationship appears shallow to a competitor who asks better current questions.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4. Proactive Attention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Stages 5–7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the advisor operates reactively, transition moments arrive without preparation, competitive gaps go undetected, and practice stagnation feels even more pronounced.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5. Transition Readiness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Stage 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advisor isn’t prepared for transitions, outside specialists enter the relationship at the highest-stakes moments—each bringing their own advisor 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6. Competitive Exposure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Ongoing retention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gaps exist and the advisor doesn’t know, every client interaction with a competitor is an undefended comparison.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7. Retention Evolution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stages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practice stagnates, every stage degrades over time. Delivery that was strong three years ago may be below standard today. The advisor who doesn’t evolve creates a fixed target.</w:t>
            </w:r>
          </w:p>
        </w:tc>
      </w:tr>
    </w:tbl>
    <w:p>
      <w:pPr>
        <w:spacing w:after="60"/>
      </w:pPr>
    </w:p>
    <w:p>
      <w:pPr>
        <w:spacing w:after="120"/>
      </w:pPr>
      <w:r>
        <w:rPr>
          <w:rFonts w:ascii="Arial" w:cs="Arial" w:eastAsia="Arial" w:hAnsi="Arial"/>
          <w:b/>
          <w:bCs/>
          <w:i w:val="false"/>
          <w:iCs w:val="false"/>
          <w:color w:val="000000"/>
          <w:sz w:val="22"/>
          <w:szCs w:val="22"/>
        </w:rPr>
        <w:t xml:space="preserve">AI Implementation: Run multi-directional threat analysis before generating outputs. Identify ALL open doors, classify each by direction (inside vs. outside), and surface the most dangerous opening—which is often the one the advisor is least aware of.</w:t>
      </w:r>
    </w:p>
    <w:p>
      <w:r>
        <w:br w:type="page"/>
      </w:r>
    </w:p>
    <w:p>
      <w:pPr>
        <w:pStyle w:val="Heading1"/>
        <w:spacing w:before="300" w:after="200"/>
      </w:pPr>
      <w:r>
        <w:rPr>
          <w:rFonts w:ascii="Arial" w:cs="Arial" w:eastAsia="Arial" w:hAnsi="Arial"/>
          <w:b/>
          <w:bCs/>
        </w:rPr>
        <w:t xml:space="preserve">SECTION 9: CROSS-DELIVERABLE CONNECTIONS</w:t>
      </w:r>
    </w:p>
    <w:p>
      <w:pPr>
        <w:spacing w:after="120"/>
      </w:pPr>
      <w:r>
        <w:rPr>
          <w:rFonts w:ascii="Arial" w:cs="Arial" w:eastAsia="Arial" w:hAnsi="Arial"/>
          <w:b w:val="false"/>
          <w:bCs w:val="false"/>
          <w:i/>
          <w:iCs/>
          <w:color w:val="000000"/>
          <w:sz w:val="22"/>
          <w:szCs w:val="22"/>
        </w:rPr>
        <w:t xml:space="preserve">Client Retention Risk has the most cross-deliverable connections of any BI framework because retention is the connective tissue of the entire platform. Every capability measured elsewhere affects whether clients stay.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 Risk 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Related Deliverable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Delivery Consistency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measure service reliability. Referrals: whether consistency builds advocacy. Retention: whether inconsistency creates departure vulnerability.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Delivery Consistency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whether the service promise wins prospects. Retention: whether ongoing delivery protects the clients already won.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Value Visibility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Referrals: whether clients can articulate value to others. Retention: whether clients can see value at all. Visibility precedes articulation.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Value Visibility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PitchPerfect: whether fee communication wins prospects. Retention: whether ongoing value visibility protects against fee sensitivity.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Relationship Currency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Quality: Stages 3, 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initial depth and partnership. Retention: whether that knowledge stays current as the client’s life evolves.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Proactive Attention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Discovery Quality: Stage 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Listening: real-time responsiveness during meetings. Proactive Attention: ongoing anticipation between meetings.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Proactive Attention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4</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Referrals: maintaining presence for referral purposes. Retention: staying ahead of client needs.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Transition Readiness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partnership value with professionals. Transition Readiness: whether those relationships protect retention during transitions.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Competitive Exposure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Stage 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PitchPerfect: winning competitive pitches. Retention: withstanding comparison when competitors pitch existing clients.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Competitive Exposure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 to Head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 to Head: known competitive situations. Competitive Exposure: the invisible competition the advisor may not know about.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Retention Evolution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Discovery Quality: Stage 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measure whether the advisor’s approach improves over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Retention Evolution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 Referrals: Stage 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Both measure ongoing investment and evolution.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Retention Evolution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Referrals: Stage 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include evolution dimensions.</w:t>
            </w:r>
          </w:p>
        </w:tc>
      </w:tr>
    </w:tbl>
    <w:p>
      <w:r>
        <w:br w:type="page"/>
      </w:r>
    </w:p>
    <w:p>
      <w:pPr>
        <w:pStyle w:val="Heading1"/>
        <w:spacing w:before="300" w:after="200"/>
      </w:pPr>
      <w:r>
        <w:rPr>
          <w:rFonts w:ascii="Arial" w:cs="Arial" w:eastAsia="Arial" w:hAnsi="Arial"/>
          <w:b/>
          <w:bCs/>
        </w:rPr>
        <w:t xml:space="preserve">SECTION 10: OUTPUT EXAMPLES</w:t>
      </w:r>
    </w:p>
    <w:p>
      <w:pPr>
        <w:pStyle w:val="Heading2"/>
        <w:spacing w:before="300" w:after="200"/>
      </w:pPr>
      <w:r>
        <w:rPr>
          <w:rFonts w:ascii="Arial" w:cs="Arial" w:eastAsia="Arial" w:hAnsi="Arial"/>
          <w:b/>
          <w:bCs/>
        </w:rPr>
        <w:t xml:space="preserve">Example 1: Strong Foundation, Vulnerable to Outside Threats</w:t>
      </w:r>
    </w:p>
    <w:p>
      <w:pPr>
        <w:spacing w:after="120"/>
      </w:pPr>
      <w:r>
        <w:rPr>
          <w:rFonts w:ascii="Arial" w:cs="Arial" w:eastAsia="Arial" w:hAnsi="Arial"/>
          <w:b w:val="false"/>
          <w:bCs w:val="false"/>
          <w:i/>
          <w:iCs/>
          <w:color w:val="000000"/>
          <w:sz w:val="20"/>
          <w:szCs w:val="20"/>
        </w:rPr>
        <w:t xml:space="preserve">“Your Foundation phase is a genuine strength—Elite Delivery Consistency and Strong Value Visibility mean clients experience what they were promised and can see the value being delivered. These doors are locked from the inside. But the Vulnerability phase reveals openings from the outside. Transition Readiness at 38% ({avg_pct}: 55%) means high-stakes life moments—retirement, divorce, inheritance—will send your clients into the market looking for help you should already be positioned to provide. Competitive Exposure at 42% suggests you don’t know when clients are being shown what they’re missing. The practice you’ve built is defensible from internal dissatisfaction. It’s exposed to external opportunity.”</w:t>
      </w:r>
    </w:p>
    <w:p>
      <w:pPr>
        <w:spacing w:after="60"/>
      </w:pPr>
    </w:p>
    <w:p>
      <w:pPr>
        <w:pStyle w:val="Heading2"/>
        <w:spacing w:before="300" w:after="200"/>
      </w:pPr>
      <w:r>
        <w:rPr>
          <w:rFonts w:ascii="Arial" w:cs="Arial" w:eastAsia="Arial" w:hAnsi="Arial"/>
          <w:b/>
          <w:bCs/>
        </w:rPr>
        <w:t xml:space="preserve">Example 2: The One Open Door</w:t>
      </w:r>
    </w:p>
    <w:p>
      <w:pPr>
        <w:spacing w:after="120"/>
      </w:pPr>
      <w:r>
        <w:rPr>
          <w:rFonts w:ascii="Arial" w:cs="Arial" w:eastAsia="Arial" w:hAnsi="Arial"/>
          <w:b w:val="false"/>
          <w:bCs w:val="false"/>
          <w:i/>
          <w:iCs/>
          <w:color w:val="000000"/>
          <w:sz w:val="20"/>
          <w:szCs w:val="20"/>
        </w:rPr>
        <w:t xml:space="preserve">“Your retention profile is unusually asymmetric. Six of seven stages are Strong or Elite—you’ve built a practice that delivers, communicates value, knows clients deeply, operates proactively, and is evolving. But Value Visibility at 34% ({avg_pct}: 58%) is an open door in an otherwise secure practice. This is the silent killer: you’re doing the work but clients can’t see it. A competitor who walks in and shows them three things you ‘aren’t doing’—even if you ARE doing all of them—wins because they made it visible. Your strongest recommendation is also your simplest: make your best work visible. The practice quality is there. The visibility is not.”</w:t>
      </w:r>
    </w:p>
    <w:p>
      <w:r>
        <w:br w:type="page"/>
      </w:r>
    </w:p>
    <w:p>
      <w:pPr>
        <w:pStyle w:val="Heading1"/>
        <w:spacing w:before="300" w:after="200"/>
      </w:pPr>
      <w:r>
        <w:rPr>
          <w:rFonts w:ascii="Arial" w:cs="Arial" w:eastAsia="Arial" w:hAnsi="Arial"/>
          <w:b/>
          <w:bCs/>
        </w:rPr>
        <w:t xml:space="preserve">SECTION 11: IMPLEMENTATION &amp; QUALITY CHECKLIST</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Receive stage scores, benchmarks, and cross-deliverable scores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Calculate band positions for all 7 stages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Run Multi-Directional Threat Analysis: Identify ALL open doors and classify by direction</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Apply One-Open-Door Principle: Any single Emerging stage is critical regardless of overall strength</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Generate outputs per Section 4</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Apply diagnostic voice from Section 5</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Verify against checklist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Check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Contains specific numbers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Specifies threat direction (inside vs. outside) for each vulnerability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Uses door metaphor consistently (locked/closed/ajar/open)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Surfaces the one-open-door principle for any Emerging stage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Emphasizes perception over performance where relevant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Distinguishes Client Retention Risk from other BI areas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References multi-directional nature—not sequential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repeated language across outputs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Cross-deliverable flags included—especially for retention’s heavy connections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Does NOT use core system terms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jc w:val="center"/>
      </w:pPr>
      <w:r>
        <w:rPr>
          <w:rFonts w:ascii="Arial" w:cs="Arial" w:eastAsia="Arial" w:hAnsi="Arial"/>
          <w:i/>
          <w:iCs/>
          <w:color w:val="666666"/>
          <w:sz w:val="20"/>
          <w:szCs w:val="20"/>
        </w:rPr>
        <w:t xml:space="preserve">— End of Document —</w:t>
      </w:r>
    </w:p>
    <w:p>
      <w:pPr>
        <w:jc w:val="center"/>
      </w:pPr>
      <w:r>
        <w:rPr>
          <w:rFonts w:ascii="Arial" w:cs="Arial" w:eastAsia="Arial" w:hAnsi="Arial"/>
          <w:color w:val="666666"/>
          <w:sz w:val="20"/>
          <w:szCs w:val="20"/>
        </w:rPr>
        <w:t xml:space="preserve">Client Retention Risk • Cross-Over Intelligence • AI Output Reference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Point93 • Client Retention Risk AI Output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2026-02-10T16:04:18.984Z</dcterms:created>
  <dcterms:modified xsi:type="dcterms:W3CDTF">2026-02-10T16:04:18.985Z</dcterms:modified>
</cp:coreProperties>
</file>

<file path=docProps/custom.xml><?xml version="1.0" encoding="utf-8"?>
<Properties xmlns="http://schemas.openxmlformats.org/officeDocument/2006/custom-properties" xmlns:vt="http://schemas.openxmlformats.org/officeDocument/2006/docPropsVTypes"/>
</file>