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NEXTGEN READY</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6 Stages • Advisor Self-Assessment • Competitive Intelligence</w:t>
      </w:r>
    </w:p>
    <w:p>
      <w:pPr>
        <w:spacing w:after="60"/>
        <w:jc w:val="center"/>
      </w:pPr>
      <w:r>
        <w:rPr>
          <w:rFonts w:ascii="Arial" w:cs="Arial" w:eastAsia="Arial" w:hAnsi="Arial"/>
          <w:color w:val="666666"/>
          <w:sz w:val="22"/>
          <w:szCs w:val="22"/>
        </w:rPr>
        <w:t xml:space="preserve">3-Phase Prerequisite Cascade (Relationship • Relevance • Transition)</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 • February 2026</w:t>
      </w:r>
    </w:p>
    <w:p>
      <w:r>
        <w:br w:type="page"/>
      </w:r>
    </w:p>
    <w:p>
      <w:pPr>
        <w:pStyle w:val="Heading1"/>
        <w:spacing w:before="300" w:after="200"/>
      </w:pPr>
      <w:r>
        <w:rPr>
          <w:rFonts w:ascii="Arial" w:cs="Arial" w:eastAsia="Arial" w:hAnsi="Arial"/>
          <w:b/>
          <w:bCs/>
        </w:rPr>
        <w:t xml:space="preserve">SECTION 1: DOCUMENT PURPOSE</w:t>
      </w:r>
    </w:p>
    <w:p>
      <w:pPr>
        <w:spacing w:after="120"/>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NextGen Ready Cross-Over Intelligence deliverable. NextGen Ready is unique among all BI deliverables because it measures a practice capability whose impact is entirely forward-looking—it determines whether the practice exists in its current form ten or twenty years from now.</w:t>
      </w:r>
    </w:p>
    <w:p>
      <w:pPr>
        <w:spacing w:after="60"/>
      </w:pPr>
    </w:p>
    <w:p>
      <w:pPr>
        <w:pStyle w:val="Heading2"/>
        <w:spacing w:before="300" w:after="200"/>
      </w:pPr>
      <w:r>
        <w:rPr>
          <w:rFonts w:ascii="Arial" w:cs="Arial" w:eastAsia="Arial" w:hAnsi="Arial"/>
          <w:b/>
          <w:bCs/>
        </w:rPr>
        <w:t xml:space="preserve">Key Principles</w:t>
      </w:r>
    </w:p>
    <w:p>
      <w:pPr>
        <w:spacing w:after="120"/>
      </w:pPr>
      <w:r>
        <w:rPr>
          <w:rFonts w:ascii="Arial" w:cs="Arial" w:eastAsia="Arial" w:hAnsi="Arial"/>
          <w:b/>
          <w:bCs/>
          <w:sz w:val="22"/>
          <w:szCs w:val="22"/>
        </w:rPr>
        <w:t xml:space="preserve">1. Forward-Looking Measurement: </w:t>
      </w:r>
      <w:r>
        <w:rPr>
          <w:rFonts w:ascii="Arial" w:cs="Arial" w:eastAsia="Arial" w:hAnsi="Arial"/>
          <w:sz w:val="22"/>
          <w:szCs w:val="22"/>
        </w:rPr>
        <w:t xml:space="preserve">Every other BI framework measures capabilities affecting current business outcomes. NextGen Ready measures whether the practice survives the generational transition. An advisor with Elite scores across every other framework and Emerging NextGen Ready scores has built a practice that may not survive their own career.</w:t>
      </w:r>
    </w:p>
    <w:p>
      <w:pPr>
        <w:spacing w:after="120"/>
      </w:pPr>
      <w:r>
        <w:rPr>
          <w:rFonts w:ascii="Arial" w:cs="Arial" w:eastAsia="Arial" w:hAnsi="Arial"/>
          <w:b/>
          <w:bCs/>
          <w:sz w:val="22"/>
          <w:szCs w:val="22"/>
        </w:rPr>
        <w:t xml:space="preserve">2. The Heir’s Perspective: </w:t>
      </w:r>
      <w:r>
        <w:rPr>
          <w:rFonts w:ascii="Arial" w:cs="Arial" w:eastAsia="Arial" w:hAnsi="Arial"/>
          <w:sz w:val="22"/>
          <w:szCs w:val="22"/>
        </w:rPr>
        <w:t xml:space="preserve">Every stage is framed through what the heir experiences. The heir isn’t evaluating whether the advisor is competent—they’re evaluating whether the advisor is relevant, accessible, and built to serve someone like them.</w:t>
      </w:r>
    </w:p>
    <w:p>
      <w:pPr>
        <w:spacing w:after="120"/>
      </w:pPr>
      <w:r>
        <w:rPr>
          <w:rFonts w:ascii="Arial" w:cs="Arial" w:eastAsia="Arial" w:hAnsi="Arial"/>
          <w:b/>
          <w:bCs/>
          <w:sz w:val="22"/>
          <w:szCs w:val="22"/>
        </w:rPr>
        <w:t xml:space="preserve">3. Prerequisite Cascade: </w:t>
      </w:r>
      <w:r>
        <w:rPr>
          <w:rFonts w:ascii="Arial" w:cs="Arial" w:eastAsia="Arial" w:hAnsi="Arial"/>
          <w:sz w:val="22"/>
          <w:szCs w:val="22"/>
        </w:rPr>
        <w:t xml:space="preserve">Relationship enables Relevance, and Relevance enables Transition. Without a relationship, relevance is untested. Without relevance, transition architecture retains assets temporarily but loses them once the heir experiences the gap.</w:t>
      </w:r>
    </w:p>
    <w:p>
      <w:pPr>
        <w:spacing w:after="120"/>
      </w:pPr>
      <w:r>
        <w:rPr>
          <w:rFonts w:ascii="Arial" w:cs="Arial" w:eastAsia="Arial" w:hAnsi="Arial"/>
          <w:b/>
          <w:bCs/>
          <w:sz w:val="22"/>
          <w:szCs w:val="22"/>
        </w:rPr>
        <w:t xml:space="preserve">4. Distinct from Client Retention Risk: </w:t>
      </w:r>
      <w:r>
        <w:rPr>
          <w:rFonts w:ascii="Arial" w:cs="Arial" w:eastAsia="Arial" w:hAnsi="Arial"/>
          <w:sz w:val="22"/>
          <w:szCs w:val="22"/>
        </w:rPr>
        <w:t xml:space="preserve">NextGen Ready does NOT duplicate Retention Risk measurements. Spousal retention (Stage 3), transition logistics (Stage 5), and practice evolution (Stage 7) live in Retention Risk. NextGen measures the generation-specific capabilities required when inheritors are fundamentally different from accumulators.</w:t>
      </w:r>
    </w:p>
    <w:p>
      <w:pPr>
        <w:spacing w:after="120"/>
      </w:pPr>
      <w:r>
        <w:rPr>
          <w:rFonts w:ascii="Arial" w:cs="Arial" w:eastAsia="Arial" w:hAnsi="Arial"/>
          <w:b/>
          <w:bCs/>
          <w:sz w:val="22"/>
          <w:szCs w:val="22"/>
        </w:rPr>
        <w:t xml:space="preserve">5. The $124 Trillion Context: </w:t>
      </w:r>
      <w:r>
        <w:rPr>
          <w:rFonts w:ascii="Arial" w:cs="Arial" w:eastAsia="Arial" w:hAnsi="Arial"/>
          <w:sz w:val="22"/>
          <w:szCs w:val="22"/>
        </w:rPr>
        <w:t xml:space="preserve">80–90% of heirs change advisors at inheritance. 76% of firms only engage heirs at the point of transfer. The advisor who waits has already lost. AI should reference these industry realities to contextualize urgency.</w:t>
      </w:r>
    </w:p>
    <w:p>
      <w:pPr>
        <w:spacing w:after="120"/>
      </w:pPr>
      <w:r>
        <w:rPr>
          <w:rFonts w:ascii="Arial" w:cs="Arial" w:eastAsia="Arial" w:hAnsi="Arial"/>
          <w:b/>
          <w:bCs/>
          <w:sz w:val="22"/>
          <w:szCs w:val="22"/>
        </w:rPr>
        <w:t xml:space="preserve">6. Band-Based Scoring: </w:t>
      </w:r>
      <w:r>
        <w:rPr>
          <w:rFonts w:ascii="Arial" w:cs="Arial" w:eastAsia="Arial" w:hAnsi="Arial"/>
          <w:sz w:val="22"/>
          <w:szCs w:val="22"/>
        </w:rPr>
        <w:t xml:space="preserve">Elite / Strong / Developing / Emerging from dynamic benchmarks.</w:t>
      </w:r>
    </w:p>
    <w:p>
      <w:r>
        <w:br w:type="page"/>
      </w:r>
    </w:p>
    <w:p>
      <w:pPr>
        <w:pStyle w:val="Heading1"/>
        <w:spacing w:before="300" w:after="200"/>
      </w:pPr>
      <w:r>
        <w:rPr>
          <w:rFonts w:ascii="Arial" w:cs="Arial" w:eastAsia="Arial" w:hAnsi="Arial"/>
          <w:b/>
          <w:bCs/>
        </w:rPr>
        <w:t xml:space="preserve">SECTION 2: NEXTGEN READY OVERVIEW</w:t>
      </w:r>
    </w:p>
    <w:p>
      <w:pPr>
        <w:pStyle w:val="Heading2"/>
        <w:spacing w:before="300" w:after="200"/>
      </w:pPr>
      <w:r>
        <w:rPr>
          <w:rFonts w:ascii="Arial" w:cs="Arial" w:eastAsia="Arial" w:hAnsi="Arial"/>
          <w:b/>
          <w:bCs/>
        </w:rPr>
        <w:t xml:space="preserve">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RELATIONSHIP (1–2)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Next-Gen Awareness, Next-Gen Engagement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the advisor know who’s inheriting, and do those heirs have their own connection to the practice?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THE RELEVANCE (3–4)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Generational Relevance, Planning Breadth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the practice work for a different generation? Technology, communication, values alignment, and planning capability.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TRANSITION (5–6)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Family Wealth Facilitation, Practice Continuity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handoff built? Intergenerational conversations and practice succession infrastructure.</w:t>
            </w:r>
          </w:p>
        </w:tc>
      </w:tr>
    </w:tbl>
    <w:p>
      <w:pPr>
        <w:spacing w:after="60"/>
      </w:pPr>
    </w:p>
    <w:p>
      <w:pPr>
        <w:pStyle w:val="Heading2"/>
        <w:spacing w:before="300" w:after="200"/>
      </w:pPr>
      <w:r>
        <w:rPr>
          <w:rFonts w:ascii="Arial" w:cs="Arial" w:eastAsia="Arial" w:hAnsi="Arial"/>
          <w:b/>
          <w:bCs/>
        </w:rPr>
        <w:t xml:space="preserve">The 6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50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 Heir’s Question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Next-Gen Awareness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my parent’s advisor even know I exist?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Next-Gen Engagement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 I have my own relationship with this advisor—or am I just my parent’s kid?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Generational Relevance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Relevance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this advisor understand my world—or are they stuck in my parents’ generation?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Planning Breadth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Relevance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this advisor help with MY financial life—or just manage what I inherited?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Family Wealth Facilitation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anyone helped our family actually talk about this—or is everyone just hoping it works 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Practice Continuity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Transition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this advisor going to be around—or am I inheriting someone who’s about to retire?</w:t>
            </w:r>
          </w:p>
        </w:tc>
      </w:tr>
    </w:tbl>
    <w:p>
      <w:pPr>
        <w:spacing w:after="60"/>
      </w:pPr>
    </w:p>
    <w:p>
      <w:pPr>
        <w:pStyle w:val="Heading2"/>
        <w:spacing w:before="300" w:after="200"/>
      </w:pPr>
      <w:r>
        <w:rPr>
          <w:rFonts w:ascii="Arial" w:cs="Arial" w:eastAsia="Arial" w:hAnsi="Arial"/>
          <w:b/>
          <w:bCs/>
        </w:rPr>
        <w:t xml:space="preserve">The Core Insight</w:t>
      </w:r>
    </w:p>
    <w:p>
      <w:pPr>
        <w:spacing w:after="120"/>
      </w:pPr>
      <w:r>
        <w:rPr>
          <w:rFonts w:ascii="Arial" w:cs="Arial" w:eastAsia="Arial" w:hAnsi="Arial"/>
          <w:b w:val="false"/>
          <w:bCs w:val="false"/>
          <w:i w:val="false"/>
          <w:iCs w:val="false"/>
          <w:color w:val="000000"/>
          <w:sz w:val="22"/>
          <w:szCs w:val="22"/>
        </w:rPr>
        <w:t xml:space="preserve">The wealth management industry faces an unprecedented generational transition—$124 trillion transferring over the next two decades. Between 80 and 90 percent of heirs change advisors at inheritance. The advisor who waits until the inheritance event to build a relationship with the next generation has already lost. NextGen Ready measures whether the advisor’s practice has the structural capabilities—relationships, relevance, and transition infrastructure—that make heirs choose to stay.</w:t>
      </w:r>
    </w:p>
    <w:p>
      <w:pPr>
        <w:spacing w:after="60"/>
      </w:pPr>
    </w:p>
    <w:p>
      <w:pPr>
        <w:pStyle w:val="Heading2"/>
        <w:spacing w:before="300" w:after="200"/>
      </w:pPr>
      <w:r>
        <w:rPr>
          <w:rFonts w:ascii="Arial" w:cs="Arial" w:eastAsia="Arial" w:hAnsi="Arial"/>
          <w:b/>
          <w:bCs/>
        </w:rPr>
        <w:t xml:space="preserve">What NextGen Ready Does NOT Measure</w:t>
      </w:r>
    </w:p>
    <w:p>
      <w:pPr>
        <w:spacing w:after="120"/>
      </w:pPr>
      <w:r>
        <w:rPr>
          <w:rFonts w:ascii="Arial" w:cs="Arial" w:eastAsia="Arial" w:hAnsi="Arial"/>
          <w:b w:val="false"/>
          <w:bCs w:val="false"/>
          <w:i w:val="false"/>
          <w:iCs w:val="false"/>
          <w:color w:val="000000"/>
          <w:sz w:val="22"/>
          <w:szCs w:val="22"/>
        </w:rPr>
        <w:t xml:space="preserve">Spousal retention (the first wave of wealth transfer) is measured in Client Retention Risk Stage 3 (Household Coverage) and Stage 5 (Transition Readiness). Estate plan logistics and transfer mechanics also live in Retention Risk Stage 5. NextGen Ready focuses specifically on the generation-specific capabilities required when inheritors are fundamentally different from accumulators.</w:t>
      </w:r>
    </w:p>
    <w:p>
      <w:r>
        <w:br w:type="page"/>
      </w:r>
    </w:p>
    <w:p>
      <w:pPr>
        <w:pStyle w:val="Heading1"/>
        <w:spacing w:before="300" w:after="200"/>
      </w:pPr>
      <w:r>
        <w:rPr>
          <w:rFonts w:ascii="Arial" w:cs="Arial" w:eastAsia="Arial" w:hAnsi="Arial"/>
          <w:b/>
          <w:bCs/>
        </w:rPr>
        <w:t xml:space="preserve">SECTION 3: POSITION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 The practice is structurally prepared for the generational transition in this dimension. Heirs have relationships, the practice is relevant, and the infrastructure is built. Assets are positioned to stay.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{avg_pct},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Into with refinement: Above average next-gen readiness. Meaningful progress but gaps remain that could be exploited by a competitor or lose heirs whose needs fall outside current capability.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{avg_pct}, ≥ ({avg_pct}−15)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For: Significant gaps putting generational retention at risk. The practice has begun addressing next-gen readiness but is not yet positioned to retain heirs who have alternatives—which virtually all of them do.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({avg_pct}−15)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(Critical): The practice is not prepared for the generational transition in this dimension. Assets are likely to leave at the transfer event. The advisor may not see it coming because the current generation’s satisfaction masks the next generation’s absence.</w:t>
            </w:r>
          </w:p>
        </w:tc>
      </w:tr>
    </w:tbl>
    <w:p>
      <w:r>
        <w:br w:type="page"/>
      </w:r>
    </w:p>
    <w:p>
      <w:pPr>
        <w:pStyle w:val="Heading1"/>
        <w:spacing w:before="300" w:after="200"/>
      </w:pPr>
      <w:r>
        <w:rPr>
          <w:rFonts w:ascii="Arial" w:cs="Arial" w:eastAsia="Arial" w:hAnsi="Arial"/>
          <w:b/>
          <w:bCs/>
        </w:rPr>
        <w:t xml:space="preserve">SECTION 4: OUTPUT SPECIFICATIONS</w:t>
      </w:r>
    </w:p>
    <w:p>
      <w:pPr>
        <w:pStyle w:val="Heading2"/>
        <w:spacing w:before="300" w:after="200"/>
      </w:pPr>
      <w:r>
        <w:rPr>
          <w:rFonts w:ascii="Arial" w:cs="Arial" w:eastAsia="Arial" w:hAnsi="Arial"/>
          <w:b/>
          <w:bCs/>
        </w:rPr>
        <w:t xml:space="preserve">Level 1: Overall NextGen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NextGen Readiness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Synthesizes all 6 stages into generational transfer readiness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Transfer Survival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Would heirs stay or leave based on current practice capabilities?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Retention Anchor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dimension most likely to keep heirs after the transfer event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Generational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stage most likely to lose heirs—often invisible because current generation satisfaction masks 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Prerequisite Break Alert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when an earlier phase undermines later phases despite apparent strength</w:t>
            </w:r>
          </w:p>
        </w:tc>
      </w:tr>
    </w:tbl>
    <w:p>
      <w:pPr>
        <w:spacing w:after="60"/>
      </w:pPr>
    </w:p>
    <w:p>
      <w:pPr>
        <w:pStyle w:val="Heading2"/>
        <w:spacing w:before="300" w:after="200"/>
      </w:pPr>
      <w:r>
        <w:rPr>
          <w:rFonts w:ascii="Arial" w:cs="Arial" w:eastAsia="Arial" w:hAnsi="Arial"/>
          <w:b/>
          <w:bCs/>
        </w:rPr>
        <w:t xml:space="preserve">Level 2: Phase-Level (3×3=9)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next-gen positioning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Anchor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practice holds heirs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Gap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heirs will leave</w:t>
            </w:r>
          </w:p>
        </w:tc>
      </w:tr>
    </w:tbl>
    <w:p>
      <w:pPr>
        <w:spacing w:after="60"/>
      </w:pPr>
    </w:p>
    <w:p>
      <w:pPr>
        <w:pStyle w:val="Heading2"/>
        <w:spacing w:before="300" w:after="200"/>
      </w:pPr>
      <w:r>
        <w:rPr>
          <w:rFonts w:ascii="Arial" w:cs="Arial" w:eastAsia="Arial" w:hAnsi="Arial"/>
          <w:b/>
          <w:bCs/>
        </w:rPr>
        <w:t xml:space="preserve">Level 3: Stage-Level (6×7=42)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Position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 + next-gen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 Insight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Generational readiness revelation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next-gen strength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transfer event will expose gaps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Highlights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 each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findings per dimension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Driver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Impact on generational retention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conflicts across platform</w:t>
            </w:r>
          </w:p>
        </w:tc>
      </w:tr>
    </w:tbl>
    <w:p>
      <w:r>
        <w:br w:type="page"/>
      </w:r>
    </w:p>
    <w:p>
      <w:pPr>
        <w:pStyle w:val="Heading1"/>
        <w:spacing w:before="300" w:after="200"/>
      </w:pPr>
      <w:r>
        <w:rPr>
          <w:rFonts w:ascii="Arial" w:cs="Arial" w:eastAsia="Arial" w:hAnsi="Arial"/>
          <w:b/>
          <w:bCs/>
        </w:rPr>
        <w:t xml:space="preserve">SECTION 5: AI VOICE &amp; TONE</w:t>
      </w:r>
    </w:p>
    <w:p>
      <w:pPr>
        <w:spacing w:after="120"/>
      </w:pPr>
      <w:r>
        <w:rPr>
          <w:rFonts w:ascii="Arial" w:cs="Arial" w:eastAsia="Arial" w:hAnsi="Arial"/>
          <w:b/>
          <w:bCs/>
          <w:sz w:val="22"/>
          <w:szCs w:val="22"/>
        </w:rPr>
        <w:t xml:space="preserve">1. Existential Stakes, Not Urgency Panic: </w:t>
      </w:r>
      <w:r>
        <w:rPr>
          <w:rFonts w:ascii="Arial" w:cs="Arial" w:eastAsia="Arial" w:hAnsi="Arial"/>
          <w:sz w:val="22"/>
          <w:szCs w:val="22"/>
        </w:rPr>
        <w:t xml:space="preserve">NextGen Ready measures whether the practice survives. The tone should convey strategic urgency—this is a 10–20 year problem that requires action now—without panic. The advisor has time to build, but the clock is running.</w:t>
      </w:r>
    </w:p>
    <w:p>
      <w:pPr>
        <w:spacing w:after="120"/>
      </w:pPr>
      <w:r>
        <w:rPr>
          <w:rFonts w:ascii="Arial" w:cs="Arial" w:eastAsia="Arial" w:hAnsi="Arial"/>
          <w:b/>
          <w:bCs/>
          <w:sz w:val="22"/>
          <w:szCs w:val="22"/>
        </w:rPr>
        <w:t xml:space="preserve">2. The Heir’s Voice: </w:t>
      </w:r>
      <w:r>
        <w:rPr>
          <w:rFonts w:ascii="Arial" w:cs="Arial" w:eastAsia="Arial" w:hAnsi="Arial"/>
          <w:sz w:val="22"/>
          <w:szCs w:val="22"/>
        </w:rPr>
        <w:t xml:space="preserve">Frame everything through the heir’s experience and decision. “The heir will see...” “From the heir’s perspective...” “When the heir inherits...” This makes the abstract concrete.</w:t>
      </w:r>
    </w:p>
    <w:p>
      <w:pPr>
        <w:spacing w:after="120"/>
      </w:pPr>
      <w:r>
        <w:rPr>
          <w:rFonts w:ascii="Arial" w:cs="Arial" w:eastAsia="Arial" w:hAnsi="Arial"/>
          <w:b/>
          <w:bCs/>
          <w:sz w:val="22"/>
          <w:szCs w:val="22"/>
        </w:rPr>
        <w:t xml:space="preserve">3. Current Satisfaction Masks Future Risk: </w:t>
      </w:r>
      <w:r>
        <w:rPr>
          <w:rFonts w:ascii="Arial" w:cs="Arial" w:eastAsia="Arial" w:hAnsi="Arial"/>
          <w:sz w:val="22"/>
          <w:szCs w:val="22"/>
        </w:rPr>
        <w:t xml:space="preserve">The most important AI voice principle for NextGen: current clients may be perfectly happy while the practice is completely unprepared for their heirs. AI should consistently surface this disconnect—satisfaction today does not equal retention tomorrow.</w:t>
      </w:r>
    </w:p>
    <w:p>
      <w:pPr>
        <w:spacing w:after="120"/>
      </w:pPr>
      <w:r>
        <w:rPr>
          <w:rFonts w:ascii="Arial" w:cs="Arial" w:eastAsia="Arial" w:hAnsi="Arial"/>
          <w:b/>
          <w:bCs/>
          <w:sz w:val="22"/>
          <w:szCs w:val="22"/>
        </w:rPr>
        <w:t xml:space="preserve">4. Generational Difference, Not Deficiency: </w:t>
      </w:r>
      <w:r>
        <w:rPr>
          <w:rFonts w:ascii="Arial" w:cs="Arial" w:eastAsia="Arial" w:hAnsi="Arial"/>
          <w:sz w:val="22"/>
          <w:szCs w:val="22"/>
        </w:rPr>
        <w:t xml:space="preserve">The next generation isn’t worse or less serious about money—they’re different. Digital-first, values-driven, expecting transparency and personalization. AI should frame generational gaps as mismatches, not judgments.</w:t>
      </w:r>
    </w:p>
    <w:p>
      <w:pPr>
        <w:spacing w:after="120"/>
      </w:pPr>
      <w:r>
        <w:rPr>
          <w:rFonts w:ascii="Arial" w:cs="Arial" w:eastAsia="Arial" w:hAnsi="Arial"/>
          <w:b/>
          <w:bCs/>
          <w:sz w:val="22"/>
          <w:szCs w:val="22"/>
        </w:rPr>
        <w:t xml:space="preserve">5. Industry Data as Context: </w:t>
      </w:r>
      <w:r>
        <w:rPr>
          <w:rFonts w:ascii="Arial" w:cs="Arial" w:eastAsia="Arial" w:hAnsi="Arial"/>
          <w:sz w:val="22"/>
          <w:szCs w:val="22"/>
        </w:rPr>
        <w:t xml:space="preserve">Reference the $124 trillion transfer, the 80–90% heir departure rate, the 76% of firms who wait too long. These aren’t scare tactics—they’re the competitive landscape the advisor is operating in.</w:t>
      </w:r>
    </w:p>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everything through the heir’s experience and decision—not the advisor’s intention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next-gen readiness from the advisor’s perspective—the heir’s experience is what determines retention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the disconnect between current client satisfaction and next-gen readiness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Assume strong client relationships translate to heir retention—they don’t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the prerequisite cascade—Relationship enables Relevance enables Transition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 stages independently—earlier phases constrain later phases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industry data ($124T, 80–90% departure, 76% wait too long) for 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industry data as scare tactics—present as competitive landscape reality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Distinguish NextGen Ready from Client Retention Risk throughout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Retention Risk measurements—spousal retention, transition logistics, and practice evolution live there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 generational differences as practice mismatches, not heir deficiencies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Judge the next generation’s preferences—digital-first, values-driven are legitimate expectations</w:t>
            </w:r>
          </w:p>
        </w:tc>
      </w:tr>
    </w:tbl>
    <w:p>
      <w:r>
        <w:br w:type="page"/>
      </w:r>
    </w:p>
    <w:p>
      <w:pPr>
        <w:pStyle w:val="Heading1"/>
        <w:spacing w:before="300" w:after="200"/>
      </w:pPr>
      <w:r>
        <w:rPr>
          <w:rFonts w:ascii="Arial" w:cs="Arial" w:eastAsia="Arial" w:hAnsi="Arial"/>
          <w:b/>
          <w:bCs/>
        </w:rPr>
        <w:t xml:space="preserve">SECTION 7: COMPLETE STAGE REFERENCE</w:t>
      </w:r>
    </w:p>
    <w:p>
      <w:pPr>
        <w:spacing w:after="60"/>
      </w:pPr>
    </w:p>
    <w:p>
      <w:pPr>
        <w:pStyle w:val="Heading2"/>
        <w:spacing w:before="300" w:after="200"/>
      </w:pPr>
      <w:r>
        <w:rPr>
          <w:rFonts w:ascii="Arial" w:cs="Arial" w:eastAsia="Arial" w:hAnsi="Arial"/>
          <w:b/>
          <w:bCs/>
        </w:rPr>
        <w:t xml:space="preserve">Stage 1: Your Next-Gen Awareness</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RELATIONSHIP</w:t>
      </w:r>
    </w:p>
    <w:p>
      <w:pPr>
        <w:spacing w:after="120"/>
      </w:pPr>
      <w:r>
        <w:rPr>
          <w:rFonts w:ascii="Arial" w:cs="Arial" w:eastAsia="Arial" w:hAnsi="Arial"/>
          <w:b/>
          <w:bCs/>
          <w:i/>
          <w:iCs/>
          <w:sz w:val="22"/>
          <w:szCs w:val="22"/>
        </w:rPr>
        <w:t xml:space="preserve">The Heir’s Question: </w:t>
      </w:r>
      <w:r>
        <w:rPr>
          <w:rFonts w:ascii="Arial" w:cs="Arial" w:eastAsia="Arial" w:hAnsi="Arial"/>
          <w:i/>
          <w:iCs/>
          <w:sz w:val="22"/>
          <w:szCs w:val="22"/>
        </w:rPr>
        <w:t xml:space="preserve">“Does my parent’s advisor even know I exist?”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Heir Identification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identified all beneficiaries across their client base—not just primary heirs but spouses, children, grandchildren, and other beneficiaries who will receive assets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Heir Intelligence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the advisor knows about each identified heir—location, career, financial situation, existing advisor relationships, financial priorities, relationship with the current 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Timeline Awareness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assessed which clients are approaching the transfer window—based on age, health, estate plan maturity—and how much time exists to build next-gen relationships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At-Risk Asset Quantification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estimated the total assets at risk if next-gen relationships aren’t built—the percentage of AUM that depends on generational retention</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advisor who doesn’t know who’s inheriting can’t build a relationship with them. 76% of firms only engage heirs at the point of transfer. AI should assess whether awareness is comprehensive (all beneficiaries, not just primary heirs) and whether the business magnitude is quantified—advisors who don’t know that 40–50% of their AUM depends on generational retention treat this as a someday problem.</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Stage 3 (Relationship Currency)—Retention measures whether the advisor’s knowledge of the current client is up to date including household coverage; NextGen measures whether that knowledge extends to the next generation who will inherit.</w:t>
      </w:r>
    </w:p>
    <w:p>
      <w:pPr>
        <w:spacing w:after="60"/>
      </w:pPr>
    </w:p>
    <w:p>
      <w:pPr>
        <w:pStyle w:val="Heading2"/>
        <w:spacing w:before="300" w:after="200"/>
      </w:pPr>
      <w:r>
        <w:rPr>
          <w:rFonts w:ascii="Arial" w:cs="Arial" w:eastAsia="Arial" w:hAnsi="Arial"/>
          <w:b/>
          <w:bCs/>
        </w:rPr>
        <w:t xml:space="preserve">Stage 2: Your Next-Gen Engagement</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RELATIONSHIP</w:t>
      </w:r>
    </w:p>
    <w:p>
      <w:pPr>
        <w:spacing w:after="120"/>
      </w:pPr>
      <w:r>
        <w:rPr>
          <w:rFonts w:ascii="Arial" w:cs="Arial" w:eastAsia="Arial" w:hAnsi="Arial"/>
          <w:b/>
          <w:bCs/>
          <w:i/>
          <w:iCs/>
          <w:sz w:val="22"/>
          <w:szCs w:val="22"/>
        </w:rPr>
        <w:t xml:space="preserve">The Heir’s Question: </w:t>
      </w:r>
      <w:r>
        <w:rPr>
          <w:rFonts w:ascii="Arial" w:cs="Arial" w:eastAsia="Arial" w:hAnsi="Arial"/>
          <w:i/>
          <w:iCs/>
          <w:sz w:val="22"/>
          <w:szCs w:val="22"/>
        </w:rPr>
        <w:t xml:space="preserve">“Do I have my own relationship with this advisor—or am I just my parent’s kid?”</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independent contact with heirs separate from parent meetings—the heir has their own communication relationship with the practice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Current-Life Value Delivery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genuine value is being delivered relevant to the heir’s current life stage—not just inheritance positioning but financial education, planning, and resources they can use now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Next-Gen Team Presence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next-gen advisors or team members create natural peer-level connection—the heir sees someone at the firm who understands their world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Engagement Depth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engagement has progressed to genuine familiarity—the advisor knows the heir as an individual, not just a name on an estate document</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Awareness without engagement is a list. The heir who inherits assets at a firm where they feel known and individually served has a reason to stay. The heir who’s an appendage of their parent’s account has no reason to stay at all. Research shows firms hiring younger advisors specifically for next-gen engagement see significantly better retention rates.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3 (Advocacy Confidence)—both measure relationship depth. Advocacy Confidence measures depth with current clients; NextGen Engagement measures whether depth extends to the next generation.</w:t>
      </w:r>
    </w:p>
    <w:p>
      <w:pPr>
        <w:spacing w:after="60"/>
      </w:pPr>
    </w:p>
    <w:p>
      <w:pPr>
        <w:pStyle w:val="Heading2"/>
        <w:spacing w:before="300" w:after="200"/>
      </w:pPr>
      <w:r>
        <w:rPr>
          <w:rFonts w:ascii="Arial" w:cs="Arial" w:eastAsia="Arial" w:hAnsi="Arial"/>
          <w:b/>
          <w:bCs/>
        </w:rPr>
        <w:t xml:space="preserve">Stage 3: Your Generational Relevance</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RELEVANCE</w:t>
      </w:r>
    </w:p>
    <w:p>
      <w:pPr>
        <w:spacing w:after="120"/>
      </w:pPr>
      <w:r>
        <w:rPr>
          <w:rFonts w:ascii="Arial" w:cs="Arial" w:eastAsia="Arial" w:hAnsi="Arial"/>
          <w:b/>
          <w:bCs/>
          <w:i/>
          <w:iCs/>
          <w:sz w:val="22"/>
          <w:szCs w:val="22"/>
        </w:rPr>
        <w:t xml:space="preserve">The Heir’s Question: </w:t>
      </w:r>
      <w:r>
        <w:rPr>
          <w:rFonts w:ascii="Arial" w:cs="Arial" w:eastAsia="Arial" w:hAnsi="Arial"/>
          <w:i/>
          <w:iCs/>
          <w:sz w:val="22"/>
          <w:szCs w:val="22"/>
        </w:rPr>
        <w:t xml:space="preserve">“Does this advisor understand my world—or are they stuck in my parents’ generation?”</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Experience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practice’s technology meets next-gen expectations for mobile access, real-time information, and intuitive interface—or signals that this practice isn’t built for their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Channel Flexibility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multi-channel communication reaches the next generation where they are—not where their parents 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Values-Based Investment Capability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values-based investment options accommodate the next generation’s expectation for purpose-driven wealth management—96% of millennials express interest in sustainable investing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Model Adaptability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service model can serve multiple generations with appropriate customization—not a one-size-fits-all approach built for boomers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heir isn’t evaluating whether the advisor is competent—they’re evaluating whether the advisor is relevant. A competent advisor who feels outdated loses to a competent advisor who feels current. The practice doesn’t need to become a fintech startup, but it needs to demonstrate it understands how the next generation wants to interact with their financial life.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Stage 6 (Competitive Exposure)—both measure where the practice is vulnerable to competitive comparison. Retention: exposure with current clients. NextGen: whether generational fit makes it vulnerable to competitors who look more current to heirs. Client Retention Risk Stage 7 (Retention Evolution)—both measure whether the practice is keeping pace.</w:t>
      </w:r>
    </w:p>
    <w:p>
      <w:pPr>
        <w:spacing w:after="60"/>
      </w:pPr>
    </w:p>
    <w:p>
      <w:pPr>
        <w:pStyle w:val="Heading2"/>
        <w:spacing w:before="300" w:after="200"/>
      </w:pPr>
      <w:r>
        <w:rPr>
          <w:rFonts w:ascii="Arial" w:cs="Arial" w:eastAsia="Arial" w:hAnsi="Arial"/>
          <w:b/>
          <w:bCs/>
        </w:rPr>
        <w:t xml:space="preserve">Stage 4: Your Planning Breadth</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RELEVANCE</w:t>
      </w:r>
    </w:p>
    <w:p>
      <w:pPr>
        <w:spacing w:after="120"/>
      </w:pPr>
      <w:r>
        <w:rPr>
          <w:rFonts w:ascii="Arial" w:cs="Arial" w:eastAsia="Arial" w:hAnsi="Arial"/>
          <w:b/>
          <w:bCs/>
          <w:i/>
          <w:iCs/>
          <w:sz w:val="22"/>
          <w:szCs w:val="22"/>
        </w:rPr>
        <w:t xml:space="preserve">The Heir’s Question: </w:t>
      </w:r>
      <w:r>
        <w:rPr>
          <w:rFonts w:ascii="Arial" w:cs="Arial" w:eastAsia="Arial" w:hAnsi="Arial"/>
          <w:i/>
          <w:iCs/>
          <w:sz w:val="22"/>
          <w:szCs w:val="22"/>
        </w:rPr>
        <w:t xml:space="preserve">“Can this advisor help with MY financial life—or just manage what I inherited?”</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Life-Stage Planning Capability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 can advise on younger client concerns—student debt, early career planning, first home purchase, business formation, early-stage wealth building—or is primarily equipped for accumulation and retirement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Wealth Integration Skill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experience integrating inherited wealth with an existing financial situation—combining different philosophies, managing emotional complexity, bridging what was and what 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Education Delivery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financial education is delivered with respect and relevance—making heirs feel capable rather than overwhelmed or patronized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Emerging Asset Competency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capability covers what the next generation actually owns—equity compensation, digital assets, business equity, alternatives—or forces the heir to go elsewhere for the assets that matter most</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heir’s financial life is fundamentally different from their parent’s. Student loan debt alongside a seven-figure inheritance. Startup equity alongside a traditional portfolio. Cryptocurrency alongside municipal bonds. The advisor who can only manage the inherited portfolio but can’t advise on the heir’s complete situation immediately becomes a partial solution. And partial solutions get consolidated.</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3 (Discovery Depth)—both measure understanding the complete client situation. Discovery: initial depth. NextGen: whether capability extends to a different generation’s financial realities. PitchPerfect Stage 7 (Financial Planning)—both measure planning capability. PitchPerfect: whether depth wins pitches. NextGen: whether breadth covers the next generation’s different needs.</w:t>
      </w:r>
    </w:p>
    <w:p>
      <w:pPr>
        <w:spacing w:after="60"/>
      </w:pPr>
    </w:p>
    <w:p>
      <w:pPr>
        <w:pStyle w:val="Heading2"/>
        <w:spacing w:before="300" w:after="200"/>
      </w:pPr>
      <w:r>
        <w:rPr>
          <w:rFonts w:ascii="Arial" w:cs="Arial" w:eastAsia="Arial" w:hAnsi="Arial"/>
          <w:b/>
          <w:bCs/>
        </w:rPr>
        <w:t xml:space="preserve">Stage 5: Your Family Wealth Facilitation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TRANSITION</w:t>
      </w:r>
    </w:p>
    <w:p>
      <w:pPr>
        <w:spacing w:after="120"/>
      </w:pPr>
      <w:r>
        <w:rPr>
          <w:rFonts w:ascii="Arial" w:cs="Arial" w:eastAsia="Arial" w:hAnsi="Arial"/>
          <w:b/>
          <w:bCs/>
          <w:i/>
          <w:iCs/>
          <w:sz w:val="22"/>
          <w:szCs w:val="22"/>
        </w:rPr>
        <w:t xml:space="preserve">The Heir’s Question: </w:t>
      </w:r>
      <w:r>
        <w:rPr>
          <w:rFonts w:ascii="Arial" w:cs="Arial" w:eastAsia="Arial" w:hAnsi="Arial"/>
          <w:i/>
          <w:iCs/>
          <w:sz w:val="22"/>
          <w:szCs w:val="22"/>
        </w:rPr>
        <w:t xml:space="preserve">“Has anyone helped our family actually talk about this—or is everyone just hoping it works out?”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Family Meeting Facilitation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facilitates family meetings that include the next generation in wealth conversations—discussions about inheritance expectations, family values, financial responsibilities—separate from estate planning logistics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Values Transmission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helps clients articulate and communicate the values, intentions, and expectations they want to transmit alongside their wealth—not just what heirs receive but why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Heir Preparation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gradually builds financial capability and confidence in heirs—so they arrive at the transfer event with understanding rather than overwhelm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Conflict Anticipation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proactively identifies and addresses potential inheritance disputes before they happen—protecting both family relationships and the advisory relationship across generations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Wealth transfer doesn’t fail because of bad estate plans. It fails because families don’t talk about money. 70% of wealthy families lose control of assets by the second generation, 90% by the third. The primary cause isn’t taxes or poor investment—it’s the absence of communication. The advisor who facilitates these conversations becomes irreplaceable. That role is extraordinarily hard for the heir to replace.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Stage 5 (Transition Readiness)—both address transition preparation. Retention: readiness for client life events broadly. NextGen: the specific capability of facilitating intergenerational wealth conversations. COI Referrals Stage 3 (Mutual Value)—both involve the advisor as facilitator and connector.</w:t>
      </w:r>
    </w:p>
    <w:p>
      <w:pPr>
        <w:spacing w:after="60"/>
      </w:pPr>
    </w:p>
    <w:p>
      <w:pPr>
        <w:pStyle w:val="Heading2"/>
        <w:spacing w:before="300" w:after="200"/>
      </w:pPr>
      <w:r>
        <w:rPr>
          <w:rFonts w:ascii="Arial" w:cs="Arial" w:eastAsia="Arial" w:hAnsi="Arial"/>
          <w:b/>
          <w:bCs/>
        </w:rPr>
        <w:t xml:space="preserve">Stage 6: Your Practice Continuity</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TRANSITION</w:t>
      </w:r>
    </w:p>
    <w:p>
      <w:pPr>
        <w:spacing w:after="120"/>
      </w:pPr>
      <w:r>
        <w:rPr>
          <w:rFonts w:ascii="Arial" w:cs="Arial" w:eastAsia="Arial" w:hAnsi="Arial"/>
          <w:b/>
          <w:bCs/>
          <w:i/>
          <w:iCs/>
          <w:sz w:val="22"/>
          <w:szCs w:val="22"/>
        </w:rPr>
        <w:t xml:space="preserve">The Heir’s Question: </w:t>
      </w:r>
      <w:r>
        <w:rPr>
          <w:rFonts w:ascii="Arial" w:cs="Arial" w:eastAsia="Arial" w:hAnsi="Arial"/>
          <w:i/>
          <w:iCs/>
          <w:sz w:val="22"/>
          <w:szCs w:val="22"/>
        </w:rPr>
        <w:t xml:space="preserve">“Is this advisor going to be around—or am I inheriting someone who’s about to retire?”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Succession Visibility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practice’s succession plan is visible and credible to heirs—the heir can picture working with this firm for decades, not inheriting a countdown clock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Depth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team depth provides structural continuity or whether single-point dependency creates existential risk—what happens when the lead advisor retires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Composition Signaling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team composition signals a practice with a long-term future—younger team members signal continuity; a practice aging alongside its current clients signals an 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Transition Track Record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 has successfully navigated transitions before—proven continuity infrastructure versus untested plans that will face their first test at the worst possible moment</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Nearly half of current financial advisors are set to retire by 2035—the same moment trillions are transferring to the next generation. From the heir’s perspective, inheriting assets at a firm where the lead advisor is 62 means inheriting a relationship with an expiration date. 32% of investors switch firms when their advisor retires. If the heir is already loosely attached because they inherited rather than chose the relationship, that number is significantly higher.</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Stage 5 (Transition Readiness)—both address continuity. Retention: preparation for client life transitions. NextGen: whether practice succession is visible and credible to heirs. Client Retention Risk Stage 7 (Retention Evolution)—both measure long-term practice sustainability. Retention: evolution. NextGen: whether the practice survives the lead advisor’s departure.</w:t>
      </w:r>
    </w:p>
    <w:p>
      <w:pPr>
        <w:spacing w:after="60"/>
      </w:pPr>
    </w:p>
    <w:p>
      <w:r>
        <w:br w:type="page"/>
      </w:r>
    </w:p>
    <w:p>
      <w:pPr>
        <w:pStyle w:val="Heading1"/>
        <w:spacing w:before="300" w:after="200"/>
      </w:pPr>
      <w:r>
        <w:rPr>
          <w:rFonts w:ascii="Arial" w:cs="Arial" w:eastAsia="Arial" w:hAnsi="Arial"/>
          <w:b/>
          <w:bCs/>
        </w:rPr>
        <w:t xml:space="preserve">SECTION 8: PREREQUISITE CASCADE AI GUIDANCE</w:t>
      </w:r>
    </w:p>
    <w:p>
      <w:pPr>
        <w:spacing w:after="120"/>
      </w:pPr>
      <w:r>
        <w:rPr>
          <w:rFonts w:ascii="Arial" w:cs="Arial" w:eastAsia="Arial" w:hAnsi="Arial"/>
          <w:b w:val="false"/>
          <w:bCs w:val="false"/>
          <w:i w:val="false"/>
          <w:iCs w:val="false"/>
          <w:color w:val="000000"/>
          <w:sz w:val="22"/>
          <w:szCs w:val="22"/>
        </w:rPr>
        <w:t xml:space="preserve">NextGen Ready stages cascade as prerequisites. Relationship enables Relevance, and Relevance enables Transition. Each phase must function for the next to produce lasting results. This is distinct from Client Retention Risk’s multi-directional model—NextGen operates as a sequential prerequisite chain.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Phase Is Weak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 Affected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Relationship (1–2)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Stages 3–6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heir awareness and engagement, generational relevance is theoretical—the practice may be modern and relevant but the heir doesn’t know it. Family wealth facilitation can’t happen because the advisor doesn’t know the family. Practice continuity is irrelevant because there’s no heir relationship to continue.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Relevance (3–4)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Without generational relevance and planning breadth, even a strong heir relationship won’t survive the transfer. The heir who knows the advisor but finds the practice outdated or unable to address their financial life will leave once they experience the gap.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Transition (5–6)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outcome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family wealth facilitation and practice continuity, the transfer event becomes a natural breaking point rather than a seamless continuation. The heir who has a relationship and finds the practice relevant may still leave if the transfer is chaotic, the advisor is retiring, or the family dynamics around inheritance were never addressed.</w:t>
            </w:r>
          </w:p>
        </w:tc>
      </w:tr>
    </w:tbl>
    <w:p>
      <w:pPr>
        <w:spacing w:after="60"/>
      </w:pPr>
    </w:p>
    <w:p>
      <w:pPr>
        <w:spacing w:after="120"/>
      </w:pPr>
      <w:r>
        <w:rPr>
          <w:rFonts w:ascii="Arial" w:cs="Arial" w:eastAsia="Arial" w:hAnsi="Arial"/>
          <w:b/>
          <w:bCs/>
          <w:i w:val="false"/>
          <w:iCs w:val="false"/>
          <w:color w:val="000000"/>
          <w:sz w:val="22"/>
          <w:szCs w:val="22"/>
        </w:rPr>
        <w:t xml:space="preserve">AI Implementation: Run prerequisite analysis before generating outputs. Identify the earliest failing phase—this is where the advisor’s most impactful improvement lives. Strong Transition architecture built on weak Relationship or Relevance foundations will not hold.</w:t>
      </w:r>
    </w:p>
    <w:p>
      <w:r>
        <w:br w:type="page"/>
      </w:r>
    </w:p>
    <w:p>
      <w:pPr>
        <w:pStyle w:val="Heading1"/>
        <w:spacing w:before="300" w:after="200"/>
      </w:pPr>
      <w:r>
        <w:rPr>
          <w:rFonts w:ascii="Arial" w:cs="Arial" w:eastAsia="Arial" w:hAnsi="Arial"/>
          <w:b/>
          <w:bCs/>
        </w:rPr>
        <w:t xml:space="preserve">SECTION 9: CROSS-DELIVERABLE CONNECTIONS</w:t>
      </w:r>
    </w:p>
    <w:p>
      <w:pPr>
        <w:spacing w:after="120"/>
      </w:pPr>
      <w:r>
        <w:rPr>
          <w:rFonts w:ascii="Arial" w:cs="Arial" w:eastAsia="Arial" w:hAnsi="Arial"/>
          <w:b w:val="false"/>
          <w:bCs w:val="false"/>
          <w:i/>
          <w:iCs/>
          <w:color w:val="000000"/>
          <w:sz w:val="22"/>
          <w:szCs w:val="22"/>
        </w:rPr>
        <w:t xml:space="preserve">NextGen Ready connects to the broader Cross-Over Intelligence platform because next-gen retention depends on capabilities measured elsewhere. The spousal retention wave, transition mechanics, competitive exposure, and relationship depth that precede the generational transfer are all measured in other frameworks. NextGen Ready adds the generation-specific layer.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NextGen Ready 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Next-Gen Awareness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3</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measures household coverage broadly; NextGen measures whether coverage extends to identified heirs with substantive intelligence.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Next-Gen Engagement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relationship depth. Advocacy Confidence: depth with current clients. NextGen Engagement: whether depth extends to the next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Generational Relevance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competitive vulnerability. Retention: exposure with current clients. NextGen: whether generational fit exposes the practice to competitors who look more current to heirs.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Generational Relevance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evolution. Retention: overall practice improvement. NextGen: whether evolution extends to being relevant for a different generation.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Planning Breadth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 3</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understanding the complete client situation. Discovery: initial depth. NextGen: whether capability extends to a different generation’s financial realities.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Planning Breadth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planning capability. PitchPerfect: whether depth wins pitches. NextGen: whether breadth covers the next generation’s different needs.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Family Wealth Facilitation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address transition preparation. Retention: life events broadly. NextGen: facilitating intergenerational wealth conversations specifically.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Family Wealth Facilitation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involve the advisor as facilitator and connector. COI: creating value for professional partners. NextGen: connecting generations within families.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Practice Continuity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address continuity. Retention: advisor’s own unavailability. NextGen: whether practice succession is visible and credible to heirs.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Practice Continuity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Retention Risk: Stage 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long-term sustainability. Retention: evolution. NextGen: whether the practice survives the lead advisor’s departure.</w:t>
            </w:r>
          </w:p>
        </w:tc>
      </w:tr>
    </w:tbl>
    <w:p>
      <w:r>
        <w:br w:type="page"/>
      </w:r>
    </w:p>
    <w:p>
      <w:pPr>
        <w:pStyle w:val="Heading1"/>
        <w:spacing w:before="300" w:after="200"/>
      </w:pPr>
      <w:r>
        <w:rPr>
          <w:rFonts w:ascii="Arial" w:cs="Arial" w:eastAsia="Arial" w:hAnsi="Arial"/>
          <w:b/>
          <w:bCs/>
        </w:rPr>
        <w:t xml:space="preserve">SECTION 10: OUTPUT EXAMPLES</w:t>
      </w:r>
    </w:p>
    <w:p>
      <w:pPr>
        <w:pStyle w:val="Heading2"/>
        <w:spacing w:before="300" w:after="200"/>
      </w:pPr>
      <w:r>
        <w:rPr>
          <w:rFonts w:ascii="Arial" w:cs="Arial" w:eastAsia="Arial" w:hAnsi="Arial"/>
          <w:b/>
          <w:bCs/>
        </w:rPr>
        <w:t xml:space="preserve">Example 1: Strong Relationship, Irrelevant Practice</w:t>
      </w:r>
    </w:p>
    <w:p>
      <w:pPr>
        <w:spacing w:after="120"/>
      </w:pPr>
      <w:r>
        <w:rPr>
          <w:rFonts w:ascii="Arial" w:cs="Arial" w:eastAsia="Arial" w:hAnsi="Arial"/>
          <w:b w:val="false"/>
          <w:bCs w:val="false"/>
          <w:i/>
          <w:iCs/>
          <w:color w:val="000000"/>
          <w:sz w:val="20"/>
          <w:szCs w:val="20"/>
        </w:rPr>
        <w:t xml:space="preserve">“Your Relationship phase is a genuine foundation—Elite Next-Gen Awareness and Strong Engagement mean you know who’s inheriting and those heirs have their own connection to the practice. This is where most advisors fail entirely, and you’ve built it. But the Relevance phase reveals a critical prerequisite gap. Generational Relevance at 36% ({avg_pct}: 54%) suggests the practice is built for a generation that isn’t going to be here. Digital experience, communication channels, values-based investment capability—the heir who inherits may like you personally but find the practice feels like stepping back in time. Planning Breadth at 41% means you can manage the inheritance but can’t advise on the heir’s actual financial life—student debt, startup equity, first home purchase. The relationship you’ve built will buy you time at the transfer event. But time runs out when the heir discovers the practice can’t serve their life.”</w:t>
      </w:r>
    </w:p>
    <w:p>
      <w:pPr>
        <w:spacing w:after="60"/>
      </w:pPr>
    </w:p>
    <w:p>
      <w:pPr>
        <w:pStyle w:val="Heading2"/>
        <w:spacing w:before="300" w:after="200"/>
      </w:pPr>
      <w:r>
        <w:rPr>
          <w:rFonts w:ascii="Arial" w:cs="Arial" w:eastAsia="Arial" w:hAnsi="Arial"/>
          <w:b/>
          <w:bCs/>
        </w:rPr>
        <w:t xml:space="preserve">Example 2: The Ticking Clock</w:t>
      </w:r>
    </w:p>
    <w:p>
      <w:pPr>
        <w:spacing w:after="120"/>
      </w:pPr>
      <w:r>
        <w:rPr>
          <w:rFonts w:ascii="Arial" w:cs="Arial" w:eastAsia="Arial" w:hAnsi="Arial"/>
          <w:b w:val="false"/>
          <w:bCs w:val="false"/>
          <w:i/>
          <w:iCs/>
          <w:color w:val="000000"/>
          <w:sz w:val="20"/>
          <w:szCs w:val="20"/>
        </w:rPr>
        <w:t xml:space="preserve">“Your NextGen Ready profile reveals a practice that has invested heavily in transition architecture—Strong Family Wealth Facilitation and Elite Practice Continuity. But the prerequisite cascade means these strengths are built on sand. Next-Gen Awareness at 33% ({avg_pct}: 52%) and Next-Gen Engagement at 29% mean you don’t know most of your heirs and have no independent relationships with the ones you’ve identified. Your family wealth conversations and succession planning are real capabilities—but they’re being applied to the current generation, not the next one. When the transfer happens, heirs will arrive at a firm that has the infrastructure to serve them but has never tried. You’re building a house the tenants have never seen. The most impactful investment is at the beginning: identify, engage, and build independent heir relationships. Then your Transition strengths have someone to serve.”</w:t>
      </w:r>
    </w:p>
    <w:p>
      <w:r>
        <w:br w:type="page"/>
      </w:r>
    </w:p>
    <w:p>
      <w:pPr>
        <w:pStyle w:val="Heading1"/>
        <w:spacing w:before="300" w:after="200"/>
      </w:pPr>
      <w:r>
        <w:rPr>
          <w:rFonts w:ascii="Arial" w:cs="Arial" w:eastAsia="Arial" w:hAnsi="Arial"/>
          <w:b/>
          <w:bCs/>
        </w:rPr>
        <w:t xml:space="preserve">SECTION 11: IMPLEMENTATION &amp; QUALITY CHECKLIST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Receive stage scores, benchmarks, and cross-deliverable scores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Calculate band positions for all 6 stages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Run Prerequisite Analysis: Identify earliest failing phase—this is the most impactful improvement</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Apply Satisfaction Mask Check: Current client happiness does NOT indicate next-gen readiness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Generate outputs per Section 4</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Apply forward-looking voice from Section 5</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Verify against checklist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specific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Frames everything through the heir’s experience and decision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Surfaces the disconnect between current satisfaction and next-gen readiness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References prerequisite cascade—earlier phases constrain later phases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Includes industry data context ($124T, 80–90% departure rate)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Distinguishes NextGen Ready from Client Retention Risk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Frames generational differences as mismatches, not deficiencies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repeated language across outputs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flags included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NOT use core system terms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20"/>
          <w:szCs w:val="20"/>
        </w:rPr>
        <w:t xml:space="preserve">NextGen Ready • Cross-Over Intelligence • AI Output Reference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NextGen Ready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2026-02-10T16:11:25.872Z</dcterms:created>
  <dcterms:modified xsi:type="dcterms:W3CDTF">2026-02-10T16:11:25.872Z</dcterms:modified>
</cp:coreProperties>
</file>

<file path=docProps/custom.xml><?xml version="1.0" encoding="utf-8"?>
<Properties xmlns="http://schemas.openxmlformats.org/officeDocument/2006/custom-properties" xmlns:vt="http://schemas.openxmlformats.org/officeDocument/2006/docPropsVTypes"/>
</file>