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Point93</w:t>
      </w:r>
    </w:p>
    <w:p>
      <w:pPr>
        <w:spacing w:after="20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Designer Deliverable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Blueprint Version: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v1.6.0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Wireframe Version: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All 8 Designer Decisions resolved. Ready for visual design.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11, 2026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Point93?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diagnostic and benchmarking platform for financial advisors. It MEASURES and COMPARES — it never coaches, recommends, or prescribes. Advisors complete assessments across 6 practice areas (17 modules, 178 data points) and receive scored, tiered intelligence about where they stand relative to peers.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tiers: Essential (free), Professional ($115), Comprehensive ($175). Scores are never gated — only the intelligence depth (treatment panels, narratives, strategic insights) increases with tier.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Reading Order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 with the Blueprint, then the wireframe. Everything else supports those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60"/>
        <w:gridCol w:w="5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POINT93_Blueprint_v1.6.0.docx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of truth. Every rule, component, behavior, and constraint.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Point93_Blueprint_Amendment_v1.2.docx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Changelog and rationale — the Blueprint says WHAT, this says WHY.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Point93_Screen_Wireframes_v1.2.html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 annotated screen panels. Open in any browser.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Point93_Design_Tokens_v1.0.html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Atomic design system: colors, typography, spacing, UI patterns. Open in browser.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Point93_Interaction_Flows_v1.0.html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flow diagrams: state machines, transitions. Open in browser.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Point93_IA_Map_v2.html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information architecture: 6 areas, 17 modules, all IAs and DPs. Open in browser.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Point93_UX_Research_Report_v1.0.docx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Evidence behind design decisions. Competitive analysis, behavioral research.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Blueprint Key Sections for a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§1.1–1.4 — </w:t>
      </w:r>
      <w:r>
        <w:rPr>
          <w:rFonts w:ascii="Arial" w:cs="Arial" w:eastAsia="Arial" w:hAnsi="Arial"/>
          <w:sz w:val="20"/>
          <w:szCs w:val="20"/>
        </w:rPr>
        <w:t xml:space="preserve">Layout (220px fixed sidebar, 1400px max-width), navigation, core philosophy, locked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§2.1–2.3 — </w:t>
      </w:r>
      <w:r>
        <w:rPr>
          <w:rFonts w:ascii="Arial" w:cs="Arial" w:eastAsia="Arial" w:hAnsi="Arial"/>
          <w:sz w:val="20"/>
          <w:szCs w:val="20"/>
        </w:rPr>
        <w:t xml:space="preserve">Three tiers, tier-gating model, tier-gating visual treatment (DD-8)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§3.1–3.6 — </w:t>
      </w:r>
      <w:r>
        <w:rPr>
          <w:rFonts w:ascii="Arial" w:cs="Arial" w:eastAsia="Arial" w:hAnsi="Arial"/>
          <w:sz w:val="20"/>
          <w:szCs w:val="20"/>
        </w:rPr>
        <w:t xml:space="preserve">Dashboard (3 layers, cascade reveal)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§5.1–5.9 — </w:t>
      </w:r>
      <w:r>
        <w:rPr>
          <w:rFonts w:ascii="Arial" w:cs="Arial" w:eastAsia="Arial" w:hAnsi="Arial"/>
          <w:sz w:val="20"/>
          <w:szCs w:val="20"/>
        </w:rPr>
        <w:t xml:space="preserve">Assessments and Module Results (the core user journey)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§11.1 — </w:t>
      </w:r>
      <w:r>
        <w:rPr>
          <w:rFonts w:ascii="Arial" w:cs="Arial" w:eastAsia="Arial" w:hAnsi="Arial"/>
          <w:sz w:val="20"/>
          <w:szCs w:val="20"/>
        </w:rPr>
        <w:t xml:space="preserve">Band formula and scoring math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§17.6–17.7 — </w:t>
      </w:r>
      <w:r>
        <w:rPr>
          <w:rFonts w:ascii="Arial" w:cs="Arial" w:eastAsia="Arial" w:hAnsi="Arial"/>
          <w:sz w:val="20"/>
          <w:szCs w:val="20"/>
        </w:rPr>
        <w:t xml:space="preserve">Accessibility requirements, research-backed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Appendix A — </w:t>
      </w:r>
      <w:r>
        <w:rPr>
          <w:rFonts w:ascii="Arial" w:cs="Arial" w:eastAsia="Arial" w:hAnsi="Arial"/>
          <w:sz w:val="20"/>
          <w:szCs w:val="20"/>
        </w:rPr>
        <w:t xml:space="preserve">All 8 Designer Decisions with resolutions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Wireframe: 13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3-layer hub: Welcome, Executive Summary,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Home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states: uncommitted, in-progress,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 Results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reveal, treatment panels, tier-gating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 experience with micro-reward animations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 Areas Landing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area cards with progress framing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gallery, area-level intelligence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 Landing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business intelligence products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 Product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map stepper, dual-access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Assessments Landing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17 modules at a glance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Pre-launch placeholder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flow and module ranking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Profile, firm details, tier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 Sidebar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220px sidebar spec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Critical Design Rules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are non-negotiable. They appear in the Blueprint but are highlighted here for quick reference.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Language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 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measure, compare, diagnostic, benchmark, position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NEVER 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coach, improve, growth, journey, transform, recommendation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Four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600"/>
        <w:gridCol w:w="1400"/>
        <w:gridCol w:w="1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Top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#059669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#2563EB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70–84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#D97706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55–69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At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#E11D48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Dual-Format Scoring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score displays as: [shape] [number] · [letter] · [band name]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Example: ● 78 · A · Top Tier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Band Formula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CF = max(A, T−K),  VF = min(CF−K, A),  where K = 15. See §11.1 for full derivation.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Tier-Gating Pattern (DD-8)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Contextual banner + ghost panel titles at 30% opacity. CTA: “See What You’re Missing.” Same visual pattern at all 6 gating locations: (1) Module Results treatment panels, (2) IA Page treatment panels, (3) Moenio Lens depth, (4) Comprehensive Report toggle, (5) BI Intelligence panels, (6) Area Page narratives.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Progress Framing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Lead with time (~8 min) and percentage (29% complete). Fractional counts are secondary.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 Products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Teal palette (#0D9488). NOT tier-gated — they use a separate Earn/Purchase model ($25 individual / $125 bundle).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Reference Folder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Reference/ subfolder contains supporting documents for deeper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Intelligence Treatment Framework </w:t>
      </w:r>
      <w:r>
        <w:rPr>
          <w:rFonts w:ascii="Arial" w:cs="Arial" w:eastAsia="Arial" w:hAnsi="Arial"/>
          <w:sz w:val="20"/>
          <w:szCs w:val="20"/>
        </w:rPr>
        <w:t xml:space="preserve">— 5 treatment types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Content Guardrails </w:t>
      </w:r>
      <w:r>
        <w:rPr>
          <w:rFonts w:ascii="Arial" w:cs="Arial" w:eastAsia="Arial" w:hAnsi="Arial"/>
          <w:sz w:val="20"/>
          <w:szCs w:val="20"/>
        </w:rPr>
        <w:t xml:space="preserve">— AI-generated content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Intelligence Repository </w:t>
      </w:r>
      <w:r>
        <w:rPr>
          <w:rFonts w:ascii="Arial" w:cs="Arial" w:eastAsia="Arial" w:hAnsi="Arial"/>
          <w:sz w:val="20"/>
          <w:szCs w:val="20"/>
        </w:rPr>
        <w:t xml:space="preserve">— Module intelligence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Three Speed Model </w:t>
      </w:r>
      <w:r>
        <w:rPr>
          <w:rFonts w:ascii="Arial" w:cs="Arial" w:eastAsia="Arial" w:hAnsi="Arial"/>
          <w:sz w:val="20"/>
          <w:szCs w:val="20"/>
        </w:rPr>
        <w:t xml:space="preserve">— Tier delivery speed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 Design Comparative </w:t>
      </w:r>
      <w:r>
        <w:rPr>
          <w:rFonts w:ascii="Arial" w:cs="Arial" w:eastAsia="Arial" w:hAnsi="Arial"/>
          <w:sz w:val="20"/>
          <w:szCs w:val="20"/>
        </w:rPr>
        <w:t xml:space="preserve">— Competitive visual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Visualization Design System </w:t>
      </w:r>
      <w:r>
        <w:rPr>
          <w:rFonts w:ascii="Arial" w:cs="Arial" w:eastAsia="Arial" w:hAnsi="Arial"/>
          <w:sz w:val="20"/>
          <w:szCs w:val="20"/>
        </w:rPr>
        <w:t xml:space="preserve">— Data visualization specs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Gap Analysis </w:t>
      </w:r>
      <w:r>
        <w:rPr>
          <w:rFonts w:ascii="Arial" w:cs="Arial" w:eastAsia="Arial" w:hAnsi="Arial"/>
          <w:sz w:val="20"/>
          <w:szCs w:val="20"/>
        </w:rPr>
        <w:t xml:space="preserve">— Blueprint-to-implementation gap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Wireframe Audit Report </w:t>
      </w:r>
      <w:r>
        <w:rPr>
          <w:rFonts w:ascii="Arial" w:cs="Arial" w:eastAsia="Arial" w:hAnsi="Arial"/>
          <w:sz w:val="20"/>
          <w:szCs w:val="20"/>
        </w:rPr>
        <w:t xml:space="preserve">— UX research cross-reference (31/32, 96.9%)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IA Map Audit Report </w:t>
      </w:r>
      <w:r>
        <w:rPr>
          <w:rFonts w:ascii="Arial" w:cs="Arial" w:eastAsia="Arial" w:hAnsi="Arial"/>
          <w:sz w:val="20"/>
          <w:szCs w:val="20"/>
        </w:rPr>
        <w:t xml:space="preserve">— Information architecture validation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 11,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v1.5.1 → v1.6.0. DD-5–DD-8 resolved. Cross-IA removed (DD-7). Tier-gating pattern locked (DD-8). Progress framing convention. Accessibility (shapes, letter grades). Micro-reward animations.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 11,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 v1.0 → v1.1 → v1.2. UX research applied. 5 audit items resolved (sparklines, shapes, letter grades, tier-gating, animations).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 10,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Tokens v1.0, Interaction Flows v1.0, IA Map v2 created.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Pre-Mar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v1.0 through v1.5.1. DD-1 through DD-4 resolved.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March 11, 2026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Point93 </w:t>
    </w:r>
    <w:r>
      <w:rPr>
        <w:rFonts w:ascii="Arial" w:cs="Arial" w:eastAsia="Arial" w:hAnsi="Arial"/>
        <w:color w:val="666666"/>
        <w:sz w:val="18"/>
        <w:szCs w:val="18"/>
      </w:rPr>
      <w:t xml:space="preserve">Designer Deliverable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2026-03-11T18:05:21.854Z</dcterms:created>
  <dcterms:modified xsi:type="dcterms:W3CDTF">2026-03-11T18:05:21.855Z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