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2563EB"/>
          <w:sz w:val="56"/>
          <w:szCs w:val="56"/>
        </w:rPr>
        <w:t xml:space="preserve">POINT93</w:t>
      </w:r>
    </w:p>
    <w:p>
      <w:pPr>
        <w:spacing w:after="60"/>
        <w:jc w:val="center"/>
      </w:pPr>
      <w:r>
        <w:rPr>
          <w:rFonts w:ascii="Arial" w:cs="Arial" w:eastAsia="Arial" w:hAnsi="Arial"/>
          <w:color w:val="334155"/>
          <w:sz w:val="32"/>
          <w:szCs w:val="32"/>
        </w:rPr>
        <w:t xml:space="preserve">UX Research, Competitive Analysis &amp;</w:t>
      </w:r>
    </w:p>
    <w:p>
      <w:pPr>
        <w:spacing w:after="240"/>
        <w:jc w:val="center"/>
      </w:pPr>
      <w:r>
        <w:rPr>
          <w:rFonts w:ascii="Arial" w:cs="Arial" w:eastAsia="Arial" w:hAnsi="Arial"/>
          <w:color w:val="334155"/>
          <w:sz w:val="32"/>
          <w:szCs w:val="32"/>
        </w:rPr>
        <w:t xml:space="preserve">Behavioral Heuristics Report</w:t>
      </w:r>
    </w:p>
    <w:p>
      <w:pPr>
        <w:pBdr>
          <w:top w:val="single" w:color="2563EB" w:sz="4"/>
        </w:pBdr>
        <w:spacing w:after="60"/>
        <w:jc w:val="center"/>
      </w:pPr>
      <w:r>
        <w:rPr>
          <w:rFonts w:ascii="Arial" w:cs="Arial" w:eastAsia="Arial" w:hAnsi="Arial"/>
          <w:i/>
          <w:iCs/>
          <w:color w:val="6B7280"/>
          <w:sz w:val="22"/>
          <w:szCs w:val="22"/>
        </w:rPr>
        <w:t xml:space="preserve">Wireframe Enhancement Reference Document</w:t>
      </w:r>
    </w:p>
    <w:p>
      <w:pPr>
        <w:spacing w:after="60"/>
        <w:jc w:val="center"/>
      </w:pPr>
      <w:r>
        <w:rPr>
          <w:rFonts w:ascii="Arial" w:cs="Arial" w:eastAsia="Arial" w:hAnsi="Arial"/>
          <w:color w:val="6B7280"/>
          <w:sz w:val="20"/>
          <w:szCs w:val="20"/>
        </w:rPr>
        <w:t xml:space="preserve">March 11, 2026 | v1.0</w:t>
      </w:r>
    </w:p>
    <w:p>
      <w:pPr>
        <w:jc w:val="center"/>
      </w:pPr>
      <w:r>
        <w:rPr>
          <w:rFonts w:ascii="Arial" w:cs="Arial" w:eastAsia="Arial" w:hAnsi="Arial"/>
          <w:color w:val="6B7280"/>
          <w:sz w:val="20"/>
          <w:szCs w:val="20"/>
        </w:rPr>
        <w:t xml:space="preserve">Prepared for wireframe design review</w:t>
      </w:r>
    </w:p>
    <w:p>
      <w:r>
        <w:br w:type="page"/>
      </w:r>
    </w:p>
    <w:p>
      <w:pPr>
        <w:pStyle w:val="Heading1"/>
        <w:spacing w:after="120" w:before="360"/>
      </w:pPr>
      <w:r>
        <w:rPr>
          <w:rFonts w:ascii="Arial" w:cs="Arial" w:eastAsia="Arial" w:hAnsi="Arial"/>
          <w:b/>
          <w:bCs/>
        </w:rPr>
        <w:t xml:space="preserve">Executive Summary</w:t>
      </w:r>
    </w:p>
    <w:p>
      <w:pPr>
        <w:spacing w:after="120"/>
      </w:pPr>
      <w:r>
        <w:rPr>
          <w:rFonts w:ascii="Arial" w:cs="Arial" w:eastAsia="Arial" w:hAnsi="Arial"/>
          <w:sz w:val="22"/>
          <w:szCs w:val="22"/>
        </w:rPr>
        <w:t xml:space="preserve">This report synthesizes three parallel research streams to inform Point93 wireframe design decisions: (1) SaaS dashboard best practices from Nielsen Norman Group, Smashing Magazine, and enterprise design systems; (2) competitive analysis of 16 platforms across financial advisor benchmarking, professional assessment SaaS, and competitive intelligence dashboards; and (3) behavioral psychology research on what motivates financial advisors to start, complete, engage with, and return to diagnostic assessments.</w:t>
      </w:r>
    </w:p>
    <w:p>
      <w:pPr>
        <w:spacing w:after="120"/>
      </w:pPr>
      <w:r>
        <w:rPr>
          <w:rFonts w:ascii="Arial" w:cs="Arial" w:eastAsia="Arial" w:hAnsi="Arial"/>
          <w:sz w:val="22"/>
          <w:szCs w:val="22"/>
        </w:rPr>
        <w:t xml:space="preserve">The findings are organized into actionable recommendations that map directly to Point93 wireframe panels and Blueprint sections.</w:t>
      </w:r>
    </w:p>
    <w:p>
      <w:pPr>
        <w:pStyle w:val="Heading1"/>
        <w:spacing w:after="120" w:before="360"/>
      </w:pPr>
      <w:r>
        <w:rPr>
          <w:rFonts w:ascii="Arial" w:cs="Arial" w:eastAsia="Arial" w:hAnsi="Arial"/>
          <w:b/>
          <w:bCs/>
        </w:rPr>
        <w:t xml:space="preserve">Top 10 Design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00"/>
        <w:gridCol w:w="5660"/>
      </w:tblGrid>
      <w:tr>
        <w:tc>
          <w:tcPr>
            <w:tcW w:type="dxa" w:w="6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1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56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Wireframe Impact</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Sidebar nav is optimal for 7+ sections</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Current 220px fixed sidebar is correct. Keep persistent with active state indicators per Blueprint.</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Score reveal needs Three-Act structure</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Panel 5 Completion Screen should NOT show final score immediately. Show score (Act 1), then context (Act 2), then path (Act 3) matching Blueprint Three-Act Reveal.</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Progress bars beat module counts</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Show '67% complete' not '3 of 17 modules done.' Endowed progress effect: pre-stamp 1-2 items as complete to create momentum.</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Time framing converts better than question counts</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Module Home (Panel 4) should lead with '~8 minutes' not '12 questions.' Financial professionals are time-conscious.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Card grid + vertical list hybrid works best</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DD-1 decision validated: card grid for compact areas (3 modules), vertical list for dense areas (5 modules). Matches competitor patterns.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Color + icon + text for all status indicators</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Never rely on color alone. 10% of males are red-green colorblind. All band indicators need color + label text + shape differentiation.</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Curiosity gaps drive tier upgrades</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Blurred/locked content with visible outlines converts better than hidden content. Show what Professional/Comprehensive users see but blur the values.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Strength-first narrative ordering</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Always lead with what is measured strong before gaps. Shame triggers disengagement in risk-averse professionals. Area Page (Panel 7) correctly orders Strength before Growth Opportunity.</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Drag-and-drop ranking is the standard</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DD-3 decision validated: drag-and-drop list with numbered positions and 'Accept Default' option matches best-in-class onboarding patterns.</w:t>
            </w:r>
          </w:p>
        </w:tc>
      </w:tr>
      <w:tr>
        <w:tc>
          <w:tcPr>
            <w:tcW w:type="dxa" w:w="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1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One CTA per card, max 3-4 per screen</w:t>
            </w:r>
          </w:p>
        </w:tc>
        <w:tc>
          <w:tcPr>
            <w:tcW w:type="dxa" w:w="56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Decision paralysis occurs above 4 primary CTAs. Each module card should have exactly one primary action. Dashboard Layer 3 should limit visible CTAs.</w:t>
            </w:r>
          </w:p>
        </w:tc>
      </w:tr>
    </w:tbl>
    <w:p>
      <w:r>
        <w:br w:type="page"/>
      </w:r>
    </w:p>
    <w:p>
      <w:pPr>
        <w:pStyle w:val="Heading1"/>
        <w:spacing w:after="120" w:before="360"/>
      </w:pPr>
      <w:r>
        <w:rPr>
          <w:rFonts w:ascii="Arial" w:cs="Arial" w:eastAsia="Arial" w:hAnsi="Arial"/>
          <w:b/>
          <w:bCs/>
        </w:rPr>
        <w:t xml:space="preserve">Section 1: SaaS Dashboard Design Best Practices</w:t>
      </w:r>
    </w:p>
    <w:p>
      <w:pPr>
        <w:pStyle w:val="Heading2"/>
        <w:spacing w:after="120" w:before="240"/>
      </w:pPr>
      <w:r>
        <w:rPr>
          <w:rFonts w:ascii="Arial" w:cs="Arial" w:eastAsia="Arial" w:hAnsi="Arial"/>
          <w:b/>
          <w:bCs/>
        </w:rPr>
        <w:t xml:space="preserve">1.1 Layout &amp; Information Architecture</w:t>
      </w:r>
    </w:p>
    <w:p>
      <w:pPr>
        <w:pStyle w:val="ListParagraph"/>
        <w:numPr>
          <w:ilvl w:val="0"/>
          <w:numId w:val="2"/>
        </w:numPr>
        <w:spacing w:after="60"/>
      </w:pPr>
      <w:r>
        <w:rPr>
          <w:rFonts w:ascii="Arial" w:cs="Arial" w:eastAsia="Arial" w:hAnsi="Arial"/>
          <w:b/>
          <w:bCs/>
          <w:sz w:val="22"/>
          <w:szCs w:val="22"/>
        </w:rPr>
        <w:t xml:space="preserve">F-pattern scanning: </w:t>
      </w:r>
      <w:r>
        <w:rPr>
          <w:rFonts w:ascii="Arial" w:cs="Arial" w:eastAsia="Arial" w:hAnsi="Arial"/>
          <w:sz w:val="22"/>
          <w:szCs w:val="22"/>
        </w:rPr>
        <w:t xml:space="preserve">Place the most important KPI/summary in top-left. Users scan left side heavily, so primary metrics should be left-aligned.</w:t>
      </w:r>
    </w:p>
    <w:p>
      <w:pPr>
        <w:pStyle w:val="ListParagraph"/>
        <w:numPr>
          <w:ilvl w:val="0"/>
          <w:numId w:val="2"/>
        </w:numPr>
        <w:spacing w:after="60"/>
      </w:pPr>
      <w:r>
        <w:rPr>
          <w:rFonts w:ascii="Arial" w:cs="Arial" w:eastAsia="Arial" w:hAnsi="Arial"/>
          <w:b/>
          <w:bCs/>
          <w:sz w:val="22"/>
          <w:szCs w:val="22"/>
        </w:rPr>
        <w:t xml:space="preserve">Card-based layouts: </w:t>
      </w:r>
      <w:r>
        <w:rPr>
          <w:rFonts w:ascii="Arial" w:cs="Arial" w:eastAsia="Arial" w:hAnsi="Arial"/>
          <w:sz w:val="22"/>
          <w:szCs w:val="22"/>
        </w:rPr>
        <w:t xml:space="preserve">Organize dashboards as card grids. Each assessment module lives in its own contained unit. Information architecture matters more than visualization style.</w:t>
      </w:r>
    </w:p>
    <w:p>
      <w:pPr>
        <w:pStyle w:val="ListParagraph"/>
        <w:numPr>
          <w:ilvl w:val="0"/>
          <w:numId w:val="2"/>
        </w:numPr>
        <w:spacing w:after="60"/>
      </w:pPr>
      <w:r>
        <w:rPr>
          <w:rFonts w:ascii="Arial" w:cs="Arial" w:eastAsia="Arial" w:hAnsi="Arial"/>
          <w:b/>
          <w:bCs/>
          <w:sz w:val="22"/>
          <w:szCs w:val="22"/>
        </w:rPr>
        <w:t xml:space="preserve">Sidebar navigation: </w:t>
      </w:r>
      <w:r>
        <w:rPr>
          <w:rFonts w:ascii="Arial" w:cs="Arial" w:eastAsia="Arial" w:hAnsi="Arial"/>
          <w:sz w:val="22"/>
          <w:szCs w:val="22"/>
        </w:rPr>
        <w:t xml:space="preserve">Provides constant visibility of main sections. Enables vertical scanning which is faster than horizontal. Best when you have 7+ primary nav items (Point93 has 6 + sub-levels).</w:t>
      </w:r>
    </w:p>
    <w:p>
      <w:pPr>
        <w:pStyle w:val="ListParagraph"/>
        <w:numPr>
          <w:ilvl w:val="0"/>
          <w:numId w:val="2"/>
        </w:numPr>
        <w:spacing w:after="60"/>
      </w:pPr>
      <w:r>
        <w:rPr>
          <w:rFonts w:ascii="Arial" w:cs="Arial" w:eastAsia="Arial" w:hAnsi="Arial"/>
          <w:b/>
          <w:bCs/>
          <w:sz w:val="22"/>
          <w:szCs w:val="22"/>
        </w:rPr>
        <w:t xml:space="preserve">Breadcrumbs for hierarchy: </w:t>
      </w:r>
      <w:r>
        <w:rPr>
          <w:rFonts w:ascii="Arial" w:cs="Arial" w:eastAsia="Arial" w:hAnsi="Arial"/>
          <w:sz w:val="22"/>
          <w:szCs w:val="22"/>
        </w:rPr>
        <w:t xml:space="preserve">My Areas &gt; Professional Foundation &gt; PF.2 Compliance Infrastructure. Each clickable to jump back. Essential for drill-down patterns.</w:t>
      </w:r>
    </w:p>
    <w:p>
      <w:pPr>
        <w:pStyle w:val="Heading2"/>
        <w:spacing w:after="120" w:before="240"/>
      </w:pPr>
      <w:r>
        <w:rPr>
          <w:rFonts w:ascii="Arial" w:cs="Arial" w:eastAsia="Arial" w:hAnsi="Arial"/>
          <w:b/>
          <w:bCs/>
        </w:rPr>
        <w:t xml:space="preserve">1.2 Score &amp; Metric Visualization</w:t>
      </w:r>
    </w:p>
    <w:p>
      <w:pPr>
        <w:pStyle w:val="ListParagraph"/>
        <w:numPr>
          <w:ilvl w:val="0"/>
          <w:numId w:val="2"/>
        </w:numPr>
        <w:spacing w:after="60"/>
      </w:pPr>
      <w:r>
        <w:rPr>
          <w:rFonts w:ascii="Arial" w:cs="Arial" w:eastAsia="Arial" w:hAnsi="Arial"/>
          <w:b/>
          <w:bCs/>
          <w:sz w:val="22"/>
          <w:szCs w:val="22"/>
        </w:rPr>
        <w:t xml:space="preserve">Radial/half-donut gauges: </w:t>
      </w:r>
      <w:r>
        <w:rPr>
          <w:rFonts w:ascii="Arial" w:cs="Arial" w:eastAsia="Arial" w:hAnsi="Arial"/>
          <w:sz w:val="22"/>
          <w:szCs w:val="22"/>
        </w:rPr>
        <w:t xml:space="preserve">Best for single metric vs. target. Half-donut preferred for dashboards (less vertical space). Color-coded threshold bands work well for diagnostic scores.</w:t>
      </w:r>
    </w:p>
    <w:p>
      <w:pPr>
        <w:pStyle w:val="ListParagraph"/>
        <w:numPr>
          <w:ilvl w:val="0"/>
          <w:numId w:val="2"/>
        </w:numPr>
        <w:spacing w:after="60"/>
      </w:pPr>
      <w:r>
        <w:rPr>
          <w:rFonts w:ascii="Arial" w:cs="Arial" w:eastAsia="Arial" w:hAnsi="Arial"/>
          <w:b/>
          <w:bCs/>
          <w:sz w:val="22"/>
          <w:szCs w:val="22"/>
        </w:rPr>
        <w:t xml:space="preserve">Percentile positioning: </w:t>
      </w:r>
      <w:r>
        <w:rPr>
          <w:rFonts w:ascii="Arial" w:cs="Arial" w:eastAsia="Arial" w:hAnsi="Arial"/>
          <w:sz w:val="22"/>
          <w:szCs w:val="22"/>
        </w:rPr>
        <w:t xml:space="preserve">Show user position relative to peer benchmark visually. Always pair percentiles with context: target, prior period, or benchmark.</w:t>
      </w:r>
    </w:p>
    <w:p>
      <w:pPr>
        <w:pStyle w:val="ListParagraph"/>
        <w:numPr>
          <w:ilvl w:val="0"/>
          <w:numId w:val="2"/>
        </w:numPr>
        <w:spacing w:after="60"/>
      </w:pPr>
      <w:r>
        <w:rPr>
          <w:rFonts w:ascii="Arial" w:cs="Arial" w:eastAsia="Arial" w:hAnsi="Arial"/>
          <w:b/>
          <w:bCs/>
          <w:sz w:val="22"/>
          <w:szCs w:val="22"/>
        </w:rPr>
        <w:t xml:space="preserve">Sparklines in cards: </w:t>
      </w:r>
      <w:r>
        <w:rPr>
          <w:rFonts w:ascii="Arial" w:cs="Arial" w:eastAsia="Arial" w:hAnsi="Arial"/>
          <w:sz w:val="22"/>
          <w:szCs w:val="22"/>
        </w:rPr>
        <w:t xml:space="preserve">Micro-trend indicators showing trajectory (improving/declining) embedded in metric cards. Useful for score drift over reassessments.</w:t>
      </w:r>
    </w:p>
    <w:p>
      <w:pPr>
        <w:pStyle w:val="ListParagraph"/>
        <w:numPr>
          <w:ilvl w:val="0"/>
          <w:numId w:val="2"/>
        </w:numPr>
        <w:spacing w:after="60"/>
      </w:pPr>
      <w:r>
        <w:rPr>
          <w:rFonts w:ascii="Arial" w:cs="Arial" w:eastAsia="Arial" w:hAnsi="Arial"/>
          <w:b/>
          <w:bCs/>
          <w:sz w:val="22"/>
          <w:szCs w:val="22"/>
        </w:rPr>
        <w:t xml:space="preserve">1-2 metrics per card: </w:t>
      </w:r>
      <w:r>
        <w:rPr>
          <w:rFonts w:ascii="Arial" w:cs="Arial" w:eastAsia="Arial" w:hAnsi="Arial"/>
          <w:sz w:val="22"/>
          <w:szCs w:val="22"/>
        </w:rPr>
        <w:t xml:space="preserve">Avoid overcrowding. Primary metric large + one contextual comparison. Icon + number + label is minimum viable for scan-ability.</w:t>
      </w:r>
    </w:p>
    <w:p>
      <w:pPr>
        <w:pStyle w:val="Heading2"/>
        <w:spacing w:after="120" w:before="240"/>
      </w:pPr>
      <w:r>
        <w:rPr>
          <w:rFonts w:ascii="Arial" w:cs="Arial" w:eastAsia="Arial" w:hAnsi="Arial"/>
          <w:b/>
          <w:bCs/>
        </w:rPr>
        <w:t xml:space="preserve">1.3 Progressive Disclosure</w:t>
      </w:r>
    </w:p>
    <w:p>
      <w:pPr>
        <w:spacing w:after="120"/>
      </w:pPr>
      <w:r>
        <w:rPr>
          <w:rFonts w:ascii="Arial" w:cs="Arial" w:eastAsia="Arial" w:hAnsi="Arial"/>
          <w:sz w:val="22"/>
          <w:szCs w:val="22"/>
        </w:rPr>
        <w:t xml:space="preserve">The three-stage pattern matches Point93 Blueprint exactly:</w:t>
      </w:r>
    </w:p>
    <w:p>
      <w:pPr>
        <w:pStyle w:val="ListParagraph"/>
        <w:numPr>
          <w:ilvl w:val="0"/>
          <w:numId w:val="2"/>
        </w:numPr>
        <w:spacing w:after="60"/>
      </w:pPr>
      <w:r>
        <w:rPr>
          <w:rFonts w:ascii="Arial" w:cs="Arial" w:eastAsia="Arial" w:hAnsi="Arial"/>
          <w:b/>
          <w:bCs/>
          <w:sz w:val="22"/>
          <w:szCs w:val="22"/>
        </w:rPr>
        <w:t xml:space="preserve">Stage 1 (Empty): </w:t>
      </w:r>
      <w:r>
        <w:rPr>
          <w:rFonts w:ascii="Arial" w:cs="Arial" w:eastAsia="Arial" w:hAnsi="Arial"/>
          <w:sz w:val="22"/>
          <w:szCs w:val="22"/>
        </w:rPr>
        <w:t xml:space="preserve">Show overview cards with clear CTAs. Brief explanation of what assessments do. Link to quick-start. 'Complete Your First Assessment' prompt.</w:t>
      </w:r>
    </w:p>
    <w:p>
      <w:pPr>
        <w:pStyle w:val="ListParagraph"/>
        <w:numPr>
          <w:ilvl w:val="0"/>
          <w:numId w:val="2"/>
        </w:numPr>
        <w:spacing w:after="60"/>
      </w:pPr>
      <w:r>
        <w:rPr>
          <w:rFonts w:ascii="Arial" w:cs="Arial" w:eastAsia="Arial" w:hAnsi="Arial"/>
          <w:b/>
          <w:bCs/>
          <w:sz w:val="22"/>
          <w:szCs w:val="22"/>
        </w:rPr>
        <w:t xml:space="preserve">Stage 2 (Partial): </w:t>
      </w:r>
      <w:r>
        <w:rPr>
          <w:rFonts w:ascii="Arial" w:cs="Arial" w:eastAsia="Arial" w:hAnsi="Arial"/>
          <w:sz w:val="22"/>
          <w:szCs w:val="22"/>
        </w:rPr>
        <w:t xml:space="preserve">In-progress cards with completion %. Highlight most recent incomplete. Show preview of what full results look like. '1 of 3 modules complete' indicators.</w:t>
      </w:r>
    </w:p>
    <w:p>
      <w:pPr>
        <w:pStyle w:val="ListParagraph"/>
        <w:numPr>
          <w:ilvl w:val="0"/>
          <w:numId w:val="2"/>
        </w:numPr>
        <w:spacing w:after="60"/>
      </w:pPr>
      <w:r>
        <w:rPr>
          <w:rFonts w:ascii="Arial" w:cs="Arial" w:eastAsia="Arial" w:hAnsi="Arial"/>
          <w:b/>
          <w:bCs/>
          <w:sz w:val="22"/>
          <w:szCs w:val="22"/>
        </w:rPr>
        <w:t xml:space="preserve">Stage 3 (Full): </w:t>
      </w:r>
      <w:r>
        <w:rPr>
          <w:rFonts w:ascii="Arial" w:cs="Arial" w:eastAsia="Arial" w:hAnsi="Arial"/>
          <w:sz w:val="22"/>
          <w:szCs w:val="22"/>
        </w:rPr>
        <w:t xml:space="preserve">All diagnostic scores with color-coded status. Benchmark comparisons. Drill-down into module results. Filtering and deeper exploration enabled.</w:t>
      </w:r>
    </w:p>
    <w:p>
      <w:pPr>
        <w:pStyle w:val="Heading2"/>
        <w:spacing w:after="120" w:before="240"/>
      </w:pPr>
      <w:r>
        <w:rPr>
          <w:rFonts w:ascii="Arial" w:cs="Arial" w:eastAsia="Arial" w:hAnsi="Arial"/>
          <w:b/>
          <w:bCs/>
        </w:rPr>
        <w:t xml:space="preserve">1.4 White Space for Professional Audiences</w:t>
      </w:r>
    </w:p>
    <w:p>
      <w:pPr>
        <w:pStyle w:val="ListParagraph"/>
        <w:numPr>
          <w:ilvl w:val="0"/>
          <w:numId w:val="2"/>
        </w:numPr>
        <w:spacing w:after="60"/>
      </w:pPr>
      <w:r>
        <w:rPr>
          <w:rFonts w:ascii="Arial" w:cs="Arial" w:eastAsia="Arial" w:hAnsi="Arial"/>
          <w:b/>
          <w:bCs/>
          <w:sz w:val="22"/>
          <w:szCs w:val="22"/>
        </w:rPr>
        <w:t xml:space="preserve">8px grid system: </w:t>
      </w:r>
      <w:r>
        <w:rPr>
          <w:rFonts w:ascii="Arial" w:cs="Arial" w:eastAsia="Arial" w:hAnsi="Arial"/>
          <w:sz w:val="22"/>
          <w:szCs w:val="22"/>
        </w:rPr>
        <w:t xml:space="preserve">All spacing in multiples of 8px (8, 16, 24, 32, 48, 64, 96). Aligns with common screen resolutions. Reduces fractional pixels.</w:t>
      </w:r>
    </w:p>
    <w:p>
      <w:pPr>
        <w:pStyle w:val="ListParagraph"/>
        <w:numPr>
          <w:ilvl w:val="0"/>
          <w:numId w:val="2"/>
        </w:numPr>
        <w:spacing w:after="60"/>
      </w:pPr>
      <w:r>
        <w:rPr>
          <w:rFonts w:ascii="Arial" w:cs="Arial" w:eastAsia="Arial" w:hAnsi="Arial"/>
          <w:b/>
          <w:bCs/>
          <w:sz w:val="22"/>
          <w:szCs w:val="22"/>
        </w:rPr>
        <w:t xml:space="preserve">Professional density: </w:t>
      </w:r>
      <w:r>
        <w:rPr>
          <w:rFonts w:ascii="Arial" w:cs="Arial" w:eastAsia="Arial" w:hAnsi="Arial"/>
          <w:sz w:val="22"/>
          <w:szCs w:val="22"/>
        </w:rPr>
        <w:t xml:space="preserve">More data density acceptable than consumer products, but still respect 5-7 primary metrics per screen. Use font size hierarchy: primary KPI (16-20px bold), supporting (13-14px regular), labels (11-12px light).</w:t>
      </w:r>
    </w:p>
    <w:p>
      <w:pPr>
        <w:pStyle w:val="ListParagraph"/>
        <w:numPr>
          <w:ilvl w:val="0"/>
          <w:numId w:val="2"/>
        </w:numPr>
        <w:spacing w:after="60"/>
      </w:pPr>
      <w:r>
        <w:rPr>
          <w:rFonts w:ascii="Arial" w:cs="Arial" w:eastAsia="Arial" w:hAnsi="Arial"/>
          <w:b/>
          <w:bCs/>
          <w:sz w:val="22"/>
          <w:szCs w:val="22"/>
        </w:rPr>
        <w:t xml:space="preserve">Card padding standard: </w:t>
      </w:r>
      <w:r>
        <w:rPr>
          <w:rFonts w:ascii="Arial" w:cs="Arial" w:eastAsia="Arial" w:hAnsi="Arial"/>
          <w:sz w:val="22"/>
          <w:szCs w:val="22"/>
        </w:rPr>
        <w:t xml:space="preserve">16px on all sides. 8px between nested elements. 16px gutter between cards. 24-32px between sections.</w:t>
      </w:r>
    </w:p>
    <w:p>
      <w:pPr>
        <w:pStyle w:val="ListParagraph"/>
        <w:numPr>
          <w:ilvl w:val="0"/>
          <w:numId w:val="2"/>
        </w:numPr>
        <w:spacing w:after="60"/>
      </w:pPr>
      <w:r>
        <w:rPr>
          <w:rFonts w:ascii="Arial" w:cs="Arial" w:eastAsia="Arial" w:hAnsi="Arial"/>
          <w:b/>
          <w:bCs/>
          <w:sz w:val="22"/>
          <w:szCs w:val="22"/>
        </w:rPr>
        <w:t xml:space="preserve">Credibility signal: </w:t>
      </w:r>
      <w:r>
        <w:rPr>
          <w:rFonts w:ascii="Arial" w:cs="Arial" w:eastAsia="Arial" w:hAnsi="Arial"/>
          <w:sz w:val="22"/>
          <w:szCs w:val="22"/>
        </w:rPr>
        <w:t xml:space="preserve">White space signals quality and attention to detail. Especially important for financial/professional audiences who associate sparse design with premium quality.</w:t>
      </w:r>
    </w:p>
    <w:p>
      <w:pPr>
        <w:pStyle w:val="Heading2"/>
        <w:spacing w:after="120" w:before="240"/>
      </w:pPr>
      <w:r>
        <w:rPr>
          <w:rFonts w:ascii="Arial" w:cs="Arial" w:eastAsia="Arial" w:hAnsi="Arial"/>
          <w:b/>
          <w:bCs/>
        </w:rPr>
        <w:t xml:space="preserve">1.5 CTA Placement Strategy</w:t>
      </w:r>
    </w:p>
    <w:p>
      <w:pPr>
        <w:pStyle w:val="ListParagraph"/>
        <w:numPr>
          <w:ilvl w:val="0"/>
          <w:numId w:val="2"/>
        </w:numPr>
        <w:spacing w:after="60"/>
      </w:pPr>
      <w:r>
        <w:rPr>
          <w:rFonts w:ascii="Arial" w:cs="Arial" w:eastAsia="Arial" w:hAnsi="Arial"/>
          <w:b/>
          <w:bCs/>
          <w:sz w:val="22"/>
          <w:szCs w:val="22"/>
        </w:rPr>
        <w:t xml:space="preserve">Above the fold: </w:t>
      </w:r>
      <w:r>
        <w:rPr>
          <w:rFonts w:ascii="Arial" w:cs="Arial" w:eastAsia="Arial" w:hAnsi="Arial"/>
          <w:sz w:val="22"/>
          <w:szCs w:val="22"/>
        </w:rPr>
        <w:t xml:space="preserve">'Start Assessment' or 'Complete Next Module' near top. Value-focused copy: 'Get Your Diagnostic Score' not 'Click Here.' 44x44px minimum touch target.</w:t>
      </w:r>
    </w:p>
    <w:p>
      <w:pPr>
        <w:pStyle w:val="ListParagraph"/>
        <w:numPr>
          <w:ilvl w:val="0"/>
          <w:numId w:val="2"/>
        </w:numPr>
        <w:spacing w:after="60"/>
      </w:pPr>
      <w:r>
        <w:rPr>
          <w:rFonts w:ascii="Arial" w:cs="Arial" w:eastAsia="Arial" w:hAnsi="Arial"/>
          <w:b/>
          <w:bCs/>
          <w:sz w:val="22"/>
          <w:szCs w:val="22"/>
        </w:rPr>
        <w:t xml:space="preserve">Decision points: </w:t>
      </w:r>
      <w:r>
        <w:rPr>
          <w:rFonts w:ascii="Arial" w:cs="Arial" w:eastAsia="Arial" w:hAnsi="Arial"/>
          <w:sz w:val="22"/>
          <w:szCs w:val="22"/>
        </w:rPr>
        <w:t xml:space="preserve">After viewing completed assessment: 'View Detailed Results.' At end of benchmark visualization: 'Compare with Peers.' After gap identification: 'See Which Module to Focus Next.'</w:t>
      </w:r>
    </w:p>
    <w:p>
      <w:pPr>
        <w:pStyle w:val="ListParagraph"/>
        <w:numPr>
          <w:ilvl w:val="0"/>
          <w:numId w:val="2"/>
        </w:numPr>
        <w:spacing w:after="60"/>
      </w:pPr>
      <w:r>
        <w:rPr>
          <w:rFonts w:ascii="Arial" w:cs="Arial" w:eastAsia="Arial" w:hAnsi="Arial"/>
          <w:b/>
          <w:bCs/>
          <w:sz w:val="22"/>
          <w:szCs w:val="22"/>
        </w:rPr>
        <w:t xml:space="preserve">Max 3-4 primary CTAs per screen: </w:t>
      </w:r>
      <w:r>
        <w:rPr>
          <w:rFonts w:ascii="Arial" w:cs="Arial" w:eastAsia="Arial" w:hAnsi="Arial"/>
          <w:sz w:val="22"/>
          <w:szCs w:val="22"/>
        </w:rPr>
        <w:t xml:space="preserve">Beyond this triggers decision paralysis. Primary CTA bold/filled; secondary outlined; tertiary text-only.</w:t>
      </w:r>
    </w:p>
    <w:p>
      <w:pPr>
        <w:pStyle w:val="ListParagraph"/>
        <w:numPr>
          <w:ilvl w:val="0"/>
          <w:numId w:val="2"/>
        </w:numPr>
        <w:spacing w:after="60"/>
      </w:pPr>
      <w:r>
        <w:rPr>
          <w:rFonts w:ascii="Arial" w:cs="Arial" w:eastAsia="Arial" w:hAnsi="Arial"/>
          <w:b/>
          <w:bCs/>
          <w:sz w:val="22"/>
          <w:szCs w:val="22"/>
        </w:rPr>
        <w:t xml:space="preserve">Progressive CTA copy: </w:t>
      </w:r>
      <w:r>
        <w:rPr>
          <w:rFonts w:ascii="Arial" w:cs="Arial" w:eastAsia="Arial" w:hAnsi="Arial"/>
          <w:sz w:val="22"/>
          <w:szCs w:val="22"/>
        </w:rPr>
        <w:t xml:space="preserve">Empty: 'Start Here.' In-progress: 'Continue.' Complete: 'View Results' / 'Retake.'</w:t>
      </w:r>
    </w:p>
    <w:p>
      <w:r>
        <w:br w:type="page"/>
      </w:r>
    </w:p>
    <w:p>
      <w:pPr>
        <w:pStyle w:val="Heading1"/>
        <w:spacing w:after="120" w:before="360"/>
      </w:pPr>
      <w:r>
        <w:rPr>
          <w:rFonts w:ascii="Arial" w:cs="Arial" w:eastAsia="Arial" w:hAnsi="Arial"/>
          <w:b/>
          <w:bCs/>
        </w:rPr>
        <w:t xml:space="preserve">Section 2: Competitive Platform Analysis</w:t>
      </w:r>
    </w:p>
    <w:p>
      <w:pPr>
        <w:spacing w:after="120"/>
      </w:pPr>
      <w:r>
        <w:rPr>
          <w:rFonts w:ascii="Arial" w:cs="Arial" w:eastAsia="Arial" w:hAnsi="Arial"/>
          <w:sz w:val="22"/>
          <w:szCs w:val="22"/>
        </w:rPr>
        <w:t xml:space="preserve">16 platforms analyzed across three categories. Key patterns and differentiators that inform Point93 wireframe decisions.</w:t>
      </w:r>
    </w:p>
    <w:p>
      <w:pPr>
        <w:pStyle w:val="Heading2"/>
        <w:spacing w:after="120" w:before="240"/>
      </w:pPr>
      <w:r>
        <w:rPr>
          <w:rFonts w:ascii="Arial" w:cs="Arial" w:eastAsia="Arial" w:hAnsi="Arial"/>
          <w:b/>
          <w:bCs/>
        </w:rPr>
        <w:t xml:space="preserve">2.1 Category A: Financial Advisor Benchmarking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7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UX Approach</w:t>
            </w:r>
          </w:p>
        </w:tc>
        <w:tc>
          <w:tcPr>
            <w:tcW w:type="dxa" w:w="37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Point93 Takeaway</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Truelytics</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Practice valuation dashboard. Score-based with financial impact (discount rates). Color-coded band system.</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Financial impact framing: tie scores to business value, not abstract metrics. 'Your efficiency score affects your practice valuation.'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Orion</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Wealth management platform. Client portfolio dashboards. Real-time data with drill-down.</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Real-time feel matters even for periodic assessments. Show 'Last assessed: March 1' with freshness indicators.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Schwab RIA Benchmarking</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Annual benchmarking study. PDF reports with peer comparison. AUM-segmented peer groups.</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Peer group specificity is essential. '1,247 RIAs, median AUM $150M-$250M, Northeast region' builds credibility.</w:t>
            </w:r>
          </w:p>
        </w:tc>
      </w:tr>
    </w:tbl>
    <w:p>
      <w:pPr>
        <w:pStyle w:val="Heading2"/>
        <w:spacing w:after="120" w:before="240"/>
      </w:pPr>
      <w:r>
        <w:rPr>
          <w:rFonts w:ascii="Arial" w:cs="Arial" w:eastAsia="Arial" w:hAnsi="Arial"/>
          <w:b/>
          <w:bCs/>
        </w:rPr>
        <w:t xml:space="preserve">2.2 Category B: Professional Assessment SaaS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7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UX Approach</w:t>
            </w:r>
          </w:p>
        </w:tc>
        <w:tc>
          <w:tcPr>
            <w:tcW w:type="dxa" w:w="37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Point93 Takeaway</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Culture Amp</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Employee engagement scores with heatmap visualization. Color-coded favorability bands. Action planning integrated.</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Heatmap across modules/areas for My Areas landing. Band coloring on favorability ranges maps to Point93 bands.</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SecurityScorecard</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A-F letter grades for security posture. Issue severity categorization. Competitor comparison built-in.</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Simple grading metaphor alongside numeric scores. 'Your PF area: A (Top Tier)' as supplementary label.</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WHOOP / Oura Ring</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Daily diagnostic scores with trend lines. Recovery/readiness gauges. Streak mechanics.</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Streak/momentum mechanics: '3 modules completed this week.' Score trend lines for reassessment comparison.</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Pluralsight IQ</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Skills assessment with percentile positioning. Skill levels: Novice/Proficient/Expert. Immediate score reveal.</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Immediate feedback after each module. Don't make advisors wait. Tier names should imply trajectory.</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Lattice / 15Five</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Performance review with goal tracking. Manager/self-assessment comparison. OKR alignment.</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Self-assessment + peer comparison dual view. Show advisor's self-perception vs. measured score.</w:t>
            </w:r>
          </w:p>
        </w:tc>
      </w:tr>
    </w:tbl>
    <w:p>
      <w:pPr>
        <w:pStyle w:val="Heading2"/>
        <w:spacing w:after="120" w:before="240"/>
      </w:pPr>
      <w:r>
        <w:rPr>
          <w:rFonts w:ascii="Arial" w:cs="Arial" w:eastAsia="Arial" w:hAnsi="Arial"/>
          <w:b/>
          <w:bCs/>
        </w:rPr>
        <w:t xml:space="preserve">2.3 Category C: Competitive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Platform</w:t>
            </w:r>
          </w:p>
        </w:tc>
        <w:tc>
          <w:tcPr>
            <w:tcW w:type="dxa" w:w="37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UX Approach</w:t>
            </w:r>
          </w:p>
        </w:tc>
        <w:tc>
          <w:tcPr>
            <w:tcW w:type="dxa" w:w="37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Point93 Takeaway</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G2</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Star ratings + quadrant positioning. 'Leader/High Performer/Contender/Niche' grid. Review-driven.</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Grid/quadrant positioning metaphor for Moenio Lens. Show advisor position on 2x2 matrix per Lens category.</w:t>
            </w:r>
          </w:p>
        </w:tc>
      </w:tr>
      <w:tr>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Gartner Magic Quadrant</w:t>
            </w:r>
          </w:p>
        </w:tc>
        <w:tc>
          <w:tcPr>
            <w:tcW w:type="dxa" w:w="37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2x2 positioning matrix. Leaders/Challengers/Visionaries/Niche Players. Single visual = entire narrative.</w:t>
            </w:r>
          </w:p>
        </w:tc>
        <w:tc>
          <w:tcPr>
            <w:tcW w:type="dxa" w:w="37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Single compelling visual per area that tells the whole story at a glance. Area score + band in one scannable element.</w:t>
            </w:r>
          </w:p>
        </w:tc>
      </w:tr>
    </w:tbl>
    <w:p>
      <w:pPr>
        <w:pStyle w:val="Heading2"/>
        <w:spacing w:after="120" w:before="240"/>
      </w:pPr>
      <w:r>
        <w:rPr>
          <w:rFonts w:ascii="Arial" w:cs="Arial" w:eastAsia="Arial" w:hAnsi="Arial"/>
          <w:b/>
          <w:bCs/>
        </w:rPr>
        <w:t xml:space="preserve">2.4 Cross-Platform UX Patterns</w:t>
      </w:r>
    </w:p>
    <w:p>
      <w:pPr>
        <w:spacing w:after="120"/>
      </w:pPr>
      <w:r>
        <w:rPr>
          <w:rFonts w:ascii="Arial" w:cs="Arial" w:eastAsia="Arial" w:hAnsi="Arial"/>
          <w:sz w:val="22"/>
          <w:szCs w:val="22"/>
        </w:rPr>
        <w:t xml:space="preserve">Seven patterns appeared consistently across all winning platforms:</w:t>
      </w:r>
    </w:p>
    <w:p>
      <w:pPr>
        <w:pStyle w:val="ListParagraph"/>
        <w:numPr>
          <w:ilvl w:val="0"/>
          <w:numId w:val="2"/>
        </w:numPr>
        <w:spacing w:after="60"/>
      </w:pPr>
      <w:r>
        <w:rPr>
          <w:rFonts w:ascii="Arial" w:cs="Arial" w:eastAsia="Arial" w:hAnsi="Arial"/>
          <w:b/>
          <w:bCs/>
          <w:sz w:val="22"/>
          <w:szCs w:val="22"/>
        </w:rPr>
        <w:t xml:space="preserve">Top-rail key metrics: </w:t>
      </w:r>
      <w:r>
        <w:rPr>
          <w:rFonts w:ascii="Arial" w:cs="Arial" w:eastAsia="Arial" w:hAnsi="Arial"/>
          <w:sz w:val="22"/>
          <w:szCs w:val="22"/>
        </w:rPr>
        <w:t xml:space="preserve">Keep most important numbers visible at all times, not buried in drill-downs.</w:t>
      </w:r>
    </w:p>
    <w:p>
      <w:pPr>
        <w:pStyle w:val="ListParagraph"/>
        <w:numPr>
          <w:ilvl w:val="0"/>
          <w:numId w:val="2"/>
        </w:numPr>
        <w:spacing w:after="60"/>
      </w:pPr>
      <w:r>
        <w:rPr>
          <w:rFonts w:ascii="Arial" w:cs="Arial" w:eastAsia="Arial" w:hAnsi="Arial"/>
          <w:b/>
          <w:bCs/>
          <w:sz w:val="22"/>
          <w:szCs w:val="22"/>
        </w:rPr>
        <w:t xml:space="preserve">Card/widget isolation: </w:t>
      </w:r>
      <w:r>
        <w:rPr>
          <w:rFonts w:ascii="Arial" w:cs="Arial" w:eastAsia="Arial" w:hAnsi="Arial"/>
          <w:sz w:val="22"/>
          <w:szCs w:val="22"/>
        </w:rPr>
        <w:t xml:space="preserve">Each metric in its own container prevents cognitive overload.</w:t>
      </w:r>
    </w:p>
    <w:p>
      <w:pPr>
        <w:pStyle w:val="ListParagraph"/>
        <w:numPr>
          <w:ilvl w:val="0"/>
          <w:numId w:val="2"/>
        </w:numPr>
        <w:spacing w:after="60"/>
      </w:pPr>
      <w:r>
        <w:rPr>
          <w:rFonts w:ascii="Arial" w:cs="Arial" w:eastAsia="Arial" w:hAnsi="Arial"/>
          <w:b/>
          <w:bCs/>
          <w:sz w:val="22"/>
          <w:szCs w:val="22"/>
        </w:rPr>
        <w:t xml:space="preserve">Multiple scoring models: </w:t>
      </w:r>
      <w:r>
        <w:rPr>
          <w:rFonts w:ascii="Arial" w:cs="Arial" w:eastAsia="Arial" w:hAnsi="Arial"/>
          <w:sz w:val="22"/>
          <w:szCs w:val="22"/>
        </w:rPr>
        <w:t xml:space="preserve">Percentages for precision, letter grades for quick comprehension, star ratings for emotional resonance.</w:t>
      </w:r>
    </w:p>
    <w:p>
      <w:pPr>
        <w:pStyle w:val="ListParagraph"/>
        <w:numPr>
          <w:ilvl w:val="0"/>
          <w:numId w:val="2"/>
        </w:numPr>
        <w:spacing w:after="60"/>
      </w:pPr>
      <w:r>
        <w:rPr>
          <w:rFonts w:ascii="Arial" w:cs="Arial" w:eastAsia="Arial" w:hAnsi="Arial"/>
          <w:b/>
          <w:bCs/>
          <w:sz w:val="22"/>
          <w:szCs w:val="22"/>
        </w:rPr>
        <w:t xml:space="preserve">Color + icon + text triple redundancy: </w:t>
      </w:r>
      <w:r>
        <w:rPr>
          <w:rFonts w:ascii="Arial" w:cs="Arial" w:eastAsia="Arial" w:hAnsi="Arial"/>
          <w:sz w:val="22"/>
          <w:szCs w:val="22"/>
        </w:rPr>
        <w:t xml:space="preserve">Never rely on a single channel. Accessibility and cognitive processing both benefit.</w:t>
      </w:r>
    </w:p>
    <w:p>
      <w:pPr>
        <w:pStyle w:val="ListParagraph"/>
        <w:numPr>
          <w:ilvl w:val="0"/>
          <w:numId w:val="2"/>
        </w:numPr>
        <w:spacing w:after="60"/>
      </w:pPr>
      <w:r>
        <w:rPr>
          <w:rFonts w:ascii="Arial" w:cs="Arial" w:eastAsia="Arial" w:hAnsi="Arial"/>
          <w:b/>
          <w:bCs/>
          <w:sz w:val="22"/>
          <w:szCs w:val="22"/>
        </w:rPr>
        <w:t xml:space="preserve">Actionable recommendations: </w:t>
      </w:r>
      <w:r>
        <w:rPr>
          <w:rFonts w:ascii="Arial" w:cs="Arial" w:eastAsia="Arial" w:hAnsi="Arial"/>
          <w:sz w:val="22"/>
          <w:szCs w:val="22"/>
        </w:rPr>
        <w:t xml:space="preserve">Reduce 'now what?' friction. Every score display should have a clear next step.</w:t>
      </w:r>
    </w:p>
    <w:p>
      <w:pPr>
        <w:pStyle w:val="ListParagraph"/>
        <w:numPr>
          <w:ilvl w:val="0"/>
          <w:numId w:val="2"/>
        </w:numPr>
        <w:spacing w:after="60"/>
      </w:pPr>
      <w:r>
        <w:rPr>
          <w:rFonts w:ascii="Arial" w:cs="Arial" w:eastAsia="Arial" w:hAnsi="Arial"/>
          <w:b/>
          <w:bCs/>
          <w:sz w:val="22"/>
          <w:szCs w:val="22"/>
        </w:rPr>
        <w:t xml:space="preserve">Progressive data visibility: </w:t>
      </w:r>
      <w:r>
        <w:rPr>
          <w:rFonts w:ascii="Arial" w:cs="Arial" w:eastAsia="Arial" w:hAnsi="Arial"/>
          <w:sz w:val="22"/>
          <w:szCs w:val="22"/>
        </w:rPr>
        <w:t xml:space="preserve">Build trust through incremental data disclosure. Full dump overwhelms.</w:t>
      </w:r>
    </w:p>
    <w:p>
      <w:pPr>
        <w:pStyle w:val="ListParagraph"/>
        <w:numPr>
          <w:ilvl w:val="0"/>
          <w:numId w:val="2"/>
        </w:numPr>
        <w:spacing w:after="60"/>
      </w:pPr>
      <w:r>
        <w:rPr>
          <w:rFonts w:ascii="Arial" w:cs="Arial" w:eastAsia="Arial" w:hAnsi="Arial"/>
          <w:b/>
          <w:bCs/>
          <w:sz w:val="22"/>
          <w:szCs w:val="22"/>
        </w:rPr>
        <w:t xml:space="preserve">Speed as feature: </w:t>
      </w:r>
      <w:r>
        <w:rPr>
          <w:rFonts w:ascii="Arial" w:cs="Arial" w:eastAsia="Arial" w:hAnsi="Arial"/>
          <w:sz w:val="22"/>
          <w:szCs w:val="22"/>
        </w:rPr>
        <w:t xml:space="preserve">Quick assessments with instant feedback. Long wait times between action and result kill engagement.</w:t>
      </w:r>
    </w:p>
    <w:p>
      <w:r>
        <w:br w:type="page"/>
      </w:r>
    </w:p>
    <w:p>
      <w:pPr>
        <w:pStyle w:val="Heading1"/>
        <w:spacing w:after="120" w:before="360"/>
      </w:pPr>
      <w:r>
        <w:rPr>
          <w:rFonts w:ascii="Arial" w:cs="Arial" w:eastAsia="Arial" w:hAnsi="Arial"/>
          <w:b/>
          <w:bCs/>
        </w:rPr>
        <w:t xml:space="preserve">Section 3: Behavioral Heuristics for Advisor Engagement</w:t>
      </w:r>
    </w:p>
    <w:p>
      <w:pPr>
        <w:pStyle w:val="Heading2"/>
        <w:spacing w:after="120" w:before="240"/>
      </w:pPr>
      <w:r>
        <w:rPr>
          <w:rFonts w:ascii="Arial" w:cs="Arial" w:eastAsia="Arial" w:hAnsi="Arial"/>
          <w:b/>
          <w:bCs/>
        </w:rPr>
        <w:t xml:space="preserve">3.1 What Motivates an Advisor to START</w:t>
      </w:r>
    </w:p>
    <w:p>
      <w:pPr>
        <w:pBdr>
          <w:left w:val="single" w:color="2563EB" w:sz="12" w:space="8"/>
        </w:pBdr>
        <w:spacing w:after="120" w:before="120"/>
        <w:ind w:left="240"/>
      </w:pPr>
      <w:r>
        <w:rPr>
          <w:rFonts w:ascii="Arial" w:cs="Arial" w:eastAsia="Arial" w:hAnsi="Arial"/>
          <w:b/>
          <w:bCs/>
          <w:color w:val="2563EB"/>
          <w:sz w:val="22"/>
          <w:szCs w:val="22"/>
        </w:rPr>
        <w:t xml:space="preserve">Core Driver: </w:t>
      </w:r>
      <w:r>
        <w:rPr>
          <w:rFonts w:ascii="Arial" w:cs="Arial" w:eastAsia="Arial" w:hAnsi="Arial"/>
          <w:sz w:val="22"/>
          <w:szCs w:val="22"/>
        </w:rPr>
        <w:t xml:space="preserve">Curiosity gap + competitive positioning. Advisors want to know where they stand relative to peers, driven by professional pride and fear of falling behind.</w:t>
      </w:r>
    </w:p>
    <w:p>
      <w:pPr>
        <w:pStyle w:val="ListParagraph"/>
        <w:numPr>
          <w:ilvl w:val="0"/>
          <w:numId w:val="2"/>
        </w:numPr>
        <w:spacing w:after="60"/>
      </w:pPr>
      <w:r>
        <w:rPr>
          <w:rFonts w:ascii="Arial" w:cs="Arial" w:eastAsia="Arial" w:hAnsi="Arial"/>
          <w:b/>
          <w:bCs/>
          <w:sz w:val="22"/>
          <w:szCs w:val="22"/>
        </w:rPr>
        <w:t xml:space="preserve">Social comparison theory: </w:t>
      </w:r>
      <w:r>
        <w:rPr>
          <w:rFonts w:ascii="Arial" w:cs="Arial" w:eastAsia="Arial" w:hAnsi="Arial"/>
          <w:sz w:val="22"/>
          <w:szCs w:val="22"/>
        </w:rPr>
        <w:t xml:space="preserve">Upward comparison pressure motivates performance. But HIGH performers are motivated by self-discovery, not winning. Frame as 'see where you stand' not 'beat your peers.'</w:t>
      </w:r>
    </w:p>
    <w:p>
      <w:pPr>
        <w:pStyle w:val="ListParagraph"/>
        <w:numPr>
          <w:ilvl w:val="0"/>
          <w:numId w:val="2"/>
        </w:numPr>
        <w:spacing w:after="60"/>
      </w:pPr>
      <w:r>
        <w:rPr>
          <w:rFonts w:ascii="Arial" w:cs="Arial" w:eastAsia="Arial" w:hAnsi="Arial"/>
          <w:b/>
          <w:bCs/>
          <w:sz w:val="22"/>
          <w:szCs w:val="22"/>
        </w:rPr>
        <w:t xml:space="preserve">Peer comparison language that works: </w:t>
      </w:r>
      <w:r>
        <w:rPr>
          <w:rFonts w:ascii="Arial" w:cs="Arial" w:eastAsia="Arial" w:hAnsi="Arial"/>
          <w:sz w:val="22"/>
          <w:szCs w:val="22"/>
        </w:rPr>
        <w:t xml:space="preserve">'See how your practice compares to 1,200+ independent advisors in your region.' Specificity + social proof + relevance = credibility.</w:t>
      </w:r>
    </w:p>
    <w:p>
      <w:pPr>
        <w:pStyle w:val="ListParagraph"/>
        <w:numPr>
          <w:ilvl w:val="0"/>
          <w:numId w:val="2"/>
        </w:numPr>
        <w:spacing w:after="60"/>
      </w:pPr>
      <w:r>
        <w:rPr>
          <w:rFonts w:ascii="Arial" w:cs="Arial" w:eastAsia="Arial" w:hAnsi="Arial"/>
          <w:b/>
          <w:bCs/>
          <w:sz w:val="22"/>
          <w:szCs w:val="22"/>
        </w:rPr>
        <w:t xml:space="preserve">Language to avoid: </w:t>
      </w:r>
      <w:r>
        <w:rPr>
          <w:rFonts w:ascii="Arial" w:cs="Arial" w:eastAsia="Arial" w:hAnsi="Arial"/>
          <w:sz w:val="22"/>
          <w:szCs w:val="22"/>
        </w:rPr>
        <w:t xml:space="preserve">'See if you measure up' (judgmental). 'You're being left behind' (loss aversion without solution). Generic 'Top 10%' without criteria context.</w:t>
      </w:r>
    </w:p>
    <w:p>
      <w:pPr>
        <w:pStyle w:val="ListParagraph"/>
        <w:numPr>
          <w:ilvl w:val="0"/>
          <w:numId w:val="2"/>
        </w:numPr>
        <w:spacing w:after="60"/>
      </w:pPr>
      <w:r>
        <w:rPr>
          <w:rFonts w:ascii="Arial" w:cs="Arial" w:eastAsia="Arial" w:hAnsi="Arial"/>
          <w:b/>
          <w:bCs/>
          <w:sz w:val="22"/>
          <w:szCs w:val="22"/>
        </w:rPr>
        <w:t xml:space="preserve">Preview/sample data: </w:t>
      </w:r>
      <w:r>
        <w:rPr>
          <w:rFonts w:ascii="Arial" w:cs="Arial" w:eastAsia="Arial" w:hAnsi="Arial"/>
          <w:sz w:val="22"/>
          <w:szCs w:val="22"/>
        </w:rPr>
        <w:t xml:space="preserve">Show sample report before asking for commitment. Endowed progress effect: giving users artificial starting progress increases completion by 2x.</w:t>
      </w:r>
    </w:p>
    <w:p>
      <w:pPr>
        <w:pStyle w:val="ListParagraph"/>
        <w:numPr>
          <w:ilvl w:val="0"/>
          <w:numId w:val="2"/>
        </w:numPr>
        <w:spacing w:after="60"/>
      </w:pPr>
      <w:r>
        <w:rPr>
          <w:rFonts w:ascii="Arial" w:cs="Arial" w:eastAsia="Arial" w:hAnsi="Arial"/>
          <w:b/>
          <w:bCs/>
          <w:sz w:val="22"/>
          <w:szCs w:val="22"/>
        </w:rPr>
        <w:t xml:space="preserve">Trust prerequisite: </w:t>
      </w:r>
      <w:r>
        <w:rPr>
          <w:rFonts w:ascii="Arial" w:cs="Arial" w:eastAsia="Arial" w:hAnsi="Arial"/>
          <w:sz w:val="22"/>
          <w:szCs w:val="22"/>
        </w:rPr>
        <w:t xml:space="preserve">Financial professionals need 'competency trust' before exposing practice metrics. Methodology transparency + peer group specificity + third-party validation.</w:t>
      </w:r>
    </w:p>
    <w:p>
      <w:pPr>
        <w:pStyle w:val="Heading2"/>
        <w:spacing w:after="120" w:before="240"/>
      </w:pPr>
      <w:r>
        <w:rPr>
          <w:rFonts w:ascii="Arial" w:cs="Arial" w:eastAsia="Arial" w:hAnsi="Arial"/>
          <w:b/>
          <w:bCs/>
        </w:rPr>
        <w:t xml:space="preserve">3.2 What Keeps Them GOING</w:t>
      </w:r>
    </w:p>
    <w:p>
      <w:pPr>
        <w:pBdr>
          <w:left w:val="single" w:color="D97706" w:sz="12" w:space="8"/>
        </w:pBdr>
        <w:spacing w:after="120" w:before="120"/>
        <w:ind w:left="240"/>
      </w:pPr>
      <w:r>
        <w:rPr>
          <w:rFonts w:ascii="Arial" w:cs="Arial" w:eastAsia="Arial" w:hAnsi="Arial"/>
          <w:b/>
          <w:bCs/>
          <w:color w:val="D97706"/>
          <w:sz w:val="22"/>
          <w:szCs w:val="22"/>
        </w:rPr>
        <w:t xml:space="preserve">Core Driver: </w:t>
      </w:r>
      <w:r>
        <w:rPr>
          <w:rFonts w:ascii="Arial" w:cs="Arial" w:eastAsia="Arial" w:hAnsi="Arial"/>
          <w:sz w:val="22"/>
          <w:szCs w:val="22"/>
        </w:rPr>
        <w:t xml:space="preserve">Progress visualization + sunk cost + micro-rewards. Once invested, completion bias takes over. Key threshold: ~60% complete.</w:t>
      </w:r>
    </w:p>
    <w:p>
      <w:pPr>
        <w:pStyle w:val="ListParagraph"/>
        <w:numPr>
          <w:ilvl w:val="0"/>
          <w:numId w:val="2"/>
        </w:numPr>
        <w:spacing w:after="60"/>
      </w:pPr>
      <w:r>
        <w:rPr>
          <w:rFonts w:ascii="Arial" w:cs="Arial" w:eastAsia="Arial" w:hAnsi="Arial"/>
          <w:b/>
          <w:bCs/>
          <w:sz w:val="22"/>
          <w:szCs w:val="22"/>
        </w:rPr>
        <w:t xml:space="preserve">Endowed progress effect: </w:t>
      </w:r>
      <w:r>
        <w:rPr>
          <w:rFonts w:ascii="Arial" w:cs="Arial" w:eastAsia="Arial" w:hAnsi="Arial"/>
          <w:sz w:val="22"/>
          <w:szCs w:val="22"/>
        </w:rPr>
        <w:t xml:space="preserve">Pre-stamp 2-3 modules as 'started' before advisor begins. Increases completion 2x. Show '67% complete' not '3 modules remaining.'</w:t>
      </w:r>
    </w:p>
    <w:p>
      <w:pPr>
        <w:pStyle w:val="ListParagraph"/>
        <w:numPr>
          <w:ilvl w:val="0"/>
          <w:numId w:val="2"/>
        </w:numPr>
        <w:spacing w:after="60"/>
      </w:pPr>
      <w:r>
        <w:rPr>
          <w:rFonts w:ascii="Arial" w:cs="Arial" w:eastAsia="Arial" w:hAnsi="Arial"/>
          <w:b/>
          <w:bCs/>
          <w:sz w:val="22"/>
          <w:szCs w:val="22"/>
        </w:rPr>
        <w:t xml:space="preserve">Goal gradient: </w:t>
      </w:r>
      <w:r>
        <w:rPr>
          <w:rFonts w:ascii="Arial" w:cs="Arial" w:eastAsia="Arial" w:hAnsi="Arial"/>
          <w:sz w:val="22"/>
          <w:szCs w:val="22"/>
        </w:rPr>
        <w:t xml:space="preserve">People accelerate effort as they approach completion. Make the final module notably shorter (easy win finale).</w:t>
      </w:r>
    </w:p>
    <w:p>
      <w:pPr>
        <w:pStyle w:val="ListParagraph"/>
        <w:numPr>
          <w:ilvl w:val="0"/>
          <w:numId w:val="2"/>
        </w:numPr>
        <w:spacing w:after="60"/>
      </w:pPr>
      <w:r>
        <w:rPr>
          <w:rFonts w:ascii="Arial" w:cs="Arial" w:eastAsia="Arial" w:hAnsi="Arial"/>
          <w:b/>
          <w:bCs/>
          <w:sz w:val="22"/>
          <w:szCs w:val="22"/>
        </w:rPr>
        <w:t xml:space="preserve">Zeigarnik effect: </w:t>
      </w:r>
      <w:r>
        <w:rPr>
          <w:rFonts w:ascii="Arial" w:cs="Arial" w:eastAsia="Arial" w:hAnsi="Arial"/>
          <w:sz w:val="22"/>
          <w:szCs w:val="22"/>
        </w:rPr>
        <w:t xml:space="preserve">Incomplete tasks persist in memory. Save aggressively after every question. Send recovery email within 4 hours: 'You were 67% complete. 2 minutes left.'</w:t>
      </w:r>
    </w:p>
    <w:p>
      <w:pPr>
        <w:pStyle w:val="ListParagraph"/>
        <w:numPr>
          <w:ilvl w:val="0"/>
          <w:numId w:val="2"/>
        </w:numPr>
        <w:spacing w:after="60"/>
      </w:pPr>
      <w:r>
        <w:rPr>
          <w:rFonts w:ascii="Arial" w:cs="Arial" w:eastAsia="Arial" w:hAnsi="Arial"/>
          <w:b/>
          <w:bCs/>
          <w:sz w:val="22"/>
          <w:szCs w:val="22"/>
        </w:rPr>
        <w:t xml:space="preserve">Time framing: </w:t>
      </w:r>
      <w:r>
        <w:rPr>
          <w:rFonts w:ascii="Arial" w:cs="Arial" w:eastAsia="Arial" w:hAnsi="Arial"/>
          <w:sz w:val="22"/>
          <w:szCs w:val="22"/>
        </w:rPr>
        <w:t xml:space="preserve">'Complete in 8 minutes' converts at 63%. '20 minutes' drops to 51%. Always lead with time, not question count. For financial professionals, position time as professional diligence.</w:t>
      </w:r>
    </w:p>
    <w:p>
      <w:pPr>
        <w:pStyle w:val="ListParagraph"/>
        <w:numPr>
          <w:ilvl w:val="0"/>
          <w:numId w:val="2"/>
        </w:numPr>
        <w:spacing w:after="60"/>
      </w:pPr>
      <w:r>
        <w:rPr>
          <w:rFonts w:ascii="Arial" w:cs="Arial" w:eastAsia="Arial" w:hAnsi="Arial"/>
          <w:b/>
          <w:bCs/>
          <w:sz w:val="22"/>
          <w:szCs w:val="22"/>
        </w:rPr>
        <w:t xml:space="preserve">Micro-rewards: </w:t>
      </w:r>
      <w:r>
        <w:rPr>
          <w:rFonts w:ascii="Arial" w:cs="Arial" w:eastAsia="Arial" w:hAnsi="Arial"/>
          <w:sz w:val="22"/>
          <w:szCs w:val="22"/>
        </w:rPr>
        <w:t xml:space="preserve">After each module: checkmark animation + 'Module 3 complete.' Breaking long processes into steps activates dopamine reward system.</w:t>
      </w:r>
    </w:p>
    <w:p>
      <w:pPr>
        <w:pStyle w:val="Heading2"/>
        <w:spacing w:after="120" w:before="240"/>
      </w:pPr>
      <w:r>
        <w:rPr>
          <w:rFonts w:ascii="Arial" w:cs="Arial" w:eastAsia="Arial" w:hAnsi="Arial"/>
          <w:b/>
          <w:bCs/>
        </w:rPr>
        <w:t xml:space="preserve">3.3 What Makes Them LOOK at Results</w:t>
      </w:r>
    </w:p>
    <w:p>
      <w:pPr>
        <w:pBdr>
          <w:left w:val="single" w:color="059669" w:sz="12" w:space="8"/>
        </w:pBdr>
        <w:spacing w:after="120" w:before="120"/>
        <w:ind w:left="240"/>
      </w:pPr>
      <w:r>
        <w:rPr>
          <w:rFonts w:ascii="Arial" w:cs="Arial" w:eastAsia="Arial" w:hAnsi="Arial"/>
          <w:b/>
          <w:bCs/>
          <w:color w:val="059669"/>
          <w:sz w:val="22"/>
          <w:szCs w:val="22"/>
        </w:rPr>
        <w:t xml:space="preserve">Core Driver: </w:t>
      </w:r>
      <w:r>
        <w:rPr>
          <w:rFonts w:ascii="Arial" w:cs="Arial" w:eastAsia="Arial" w:hAnsi="Arial"/>
          <w:sz w:val="22"/>
          <w:szCs w:val="22"/>
        </w:rPr>
        <w:t xml:space="preserve">The mirror moment. First score view is psychologically loaded. Anchoring + framing determine whether the advisor engages or disengages.</w:t>
      </w:r>
    </w:p>
    <w:p>
      <w:pPr>
        <w:pStyle w:val="ListParagraph"/>
        <w:numPr>
          <w:ilvl w:val="0"/>
          <w:numId w:val="2"/>
        </w:numPr>
        <w:spacing w:after="60"/>
      </w:pPr>
      <w:r>
        <w:rPr>
          <w:rFonts w:ascii="Arial" w:cs="Arial" w:eastAsia="Arial" w:hAnsi="Arial"/>
          <w:b/>
          <w:bCs/>
          <w:sz w:val="22"/>
          <w:szCs w:val="22"/>
        </w:rPr>
        <w:t xml:space="preserve">Three-Act score reveal: </w:t>
      </w:r>
      <w:r>
        <w:rPr>
          <w:rFonts w:ascii="Arial" w:cs="Arial" w:eastAsia="Arial" w:hAnsi="Arial"/>
          <w:sz w:val="22"/>
          <w:szCs w:val="22"/>
        </w:rPr>
        <w:t xml:space="preserve">Act 1: Big number, neutral color (5 sec). Act 2: Percentile context with peer group definition (10 sec). Act 3: Strength first, then opportunity, then path forward (30+ sec). Progressive disclosure respects cognitive load.</w:t>
      </w:r>
    </w:p>
    <w:p>
      <w:pPr>
        <w:pStyle w:val="ListParagraph"/>
        <w:numPr>
          <w:ilvl w:val="0"/>
          <w:numId w:val="2"/>
        </w:numPr>
        <w:spacing w:after="60"/>
      </w:pPr>
      <w:r>
        <w:rPr>
          <w:rFonts w:ascii="Arial" w:cs="Arial" w:eastAsia="Arial" w:hAnsi="Arial"/>
          <w:b/>
          <w:bCs/>
          <w:sz w:val="22"/>
          <w:szCs w:val="22"/>
        </w:rPr>
        <w:t xml:space="preserve">Band psychology: </w:t>
      </w:r>
      <w:r>
        <w:rPr>
          <w:rFonts w:ascii="Arial" w:cs="Arial" w:eastAsia="Arial" w:hAnsi="Arial"/>
          <w:sz w:val="22"/>
          <w:szCs w:val="22"/>
        </w:rPr>
        <w:t xml:space="preserve">Growth-oriented tier names reduce shame and increase engagement. 'Competitive' implies trajectory, not fixed position. Avoid 'Below Average' (triggers defensiveness).</w:t>
      </w:r>
    </w:p>
    <w:p>
      <w:pPr>
        <w:pStyle w:val="ListParagraph"/>
        <w:numPr>
          <w:ilvl w:val="0"/>
          <w:numId w:val="2"/>
        </w:numPr>
        <w:spacing w:after="60"/>
      </w:pPr>
      <w:r>
        <w:rPr>
          <w:rFonts w:ascii="Arial" w:cs="Arial" w:eastAsia="Arial" w:hAnsi="Arial"/>
          <w:b/>
          <w:bCs/>
          <w:sz w:val="22"/>
          <w:szCs w:val="22"/>
        </w:rPr>
        <w:t xml:space="preserve">Anchoring effect: </w:t>
      </w:r>
      <w:r>
        <w:rPr>
          <w:rFonts w:ascii="Arial" w:cs="Arial" w:eastAsia="Arial" w:hAnsi="Arial"/>
          <w:sz w:val="22"/>
          <w:szCs w:val="22"/>
        </w:rPr>
        <w:t xml:space="preserve">Show advisor score FIRST, then peer average. 'Your efficiency: 72 | Peer average: 68' anchors them above. Reverse order anchors them as below.</w:t>
      </w:r>
    </w:p>
    <w:p>
      <w:pPr>
        <w:pStyle w:val="ListParagraph"/>
        <w:numPr>
          <w:ilvl w:val="0"/>
          <w:numId w:val="2"/>
        </w:numPr>
        <w:spacing w:after="60"/>
      </w:pPr>
      <w:r>
        <w:rPr>
          <w:rFonts w:ascii="Arial" w:cs="Arial" w:eastAsia="Arial" w:hAnsi="Arial"/>
          <w:b/>
          <w:bCs/>
          <w:sz w:val="22"/>
          <w:szCs w:val="22"/>
        </w:rPr>
        <w:t xml:space="preserve">Strength-first ordering: </w:t>
      </w:r>
      <w:r>
        <w:rPr>
          <w:rFonts w:ascii="Arial" w:cs="Arial" w:eastAsia="Arial" w:hAnsi="Arial"/>
          <w:sz w:val="22"/>
          <w:szCs w:val="22"/>
        </w:rPr>
        <w:t xml:space="preserve">Always lead with what's measured strong. Shame causes disengagement in risk-averse professionals. Area Summary (Component 2) then Strength (3) then Growth Opportunity (4) in Panel 7 is correct.</w:t>
      </w:r>
    </w:p>
    <w:p>
      <w:pPr>
        <w:pStyle w:val="Heading2"/>
        <w:spacing w:after="120" w:before="240"/>
      </w:pPr>
      <w:r>
        <w:rPr>
          <w:rFonts w:ascii="Arial" w:cs="Arial" w:eastAsia="Arial" w:hAnsi="Arial"/>
          <w:b/>
          <w:bCs/>
        </w:rPr>
        <w:t xml:space="preserve">3.4 What Drives ACTION (Upgrade, Retake, Explore)</w:t>
      </w:r>
    </w:p>
    <w:p>
      <w:pPr>
        <w:pBdr>
          <w:left w:val="single" w:color="E11D48" w:sz="12" w:space="8"/>
        </w:pBdr>
        <w:spacing w:after="120" w:before="120"/>
        <w:ind w:left="240"/>
      </w:pPr>
      <w:r>
        <w:rPr>
          <w:rFonts w:ascii="Arial" w:cs="Arial" w:eastAsia="Arial" w:hAnsi="Arial"/>
          <w:b/>
          <w:bCs/>
          <w:color w:val="E11D48"/>
          <w:sz w:val="22"/>
          <w:szCs w:val="22"/>
        </w:rPr>
        <w:t xml:space="preserve">Core Driver: </w:t>
      </w:r>
      <w:r>
        <w:rPr>
          <w:rFonts w:ascii="Arial" w:cs="Arial" w:eastAsia="Arial" w:hAnsi="Arial"/>
          <w:sz w:val="22"/>
          <w:szCs w:val="22"/>
        </w:rPr>
        <w:t xml:space="preserve">Loss aversion + curiosity gaps + social proof. Blurred locked content outperforms hidden content. One more module trigger uses sunk cost + momentum.</w:t>
      </w:r>
    </w:p>
    <w:p>
      <w:pPr>
        <w:pStyle w:val="ListParagraph"/>
        <w:numPr>
          <w:ilvl w:val="0"/>
          <w:numId w:val="2"/>
        </w:numPr>
        <w:spacing w:after="60"/>
      </w:pPr>
      <w:r>
        <w:rPr>
          <w:rFonts w:ascii="Arial" w:cs="Arial" w:eastAsia="Arial" w:hAnsi="Arial"/>
          <w:b/>
          <w:bCs/>
          <w:sz w:val="22"/>
          <w:szCs w:val="22"/>
        </w:rPr>
        <w:t xml:space="preserve">Loss aversion framing: </w:t>
      </w:r>
      <w:r>
        <w:rPr>
          <w:rFonts w:ascii="Arial" w:cs="Arial" w:eastAsia="Arial" w:hAnsi="Arial"/>
          <w:sz w:val="22"/>
          <w:szCs w:val="22"/>
        </w:rPr>
        <w:t xml:space="preserve">Losses feel 2x as powerful as gains. But pure loss framing triggers defensiveness. Use loss-framed hook + gain-framed solution: 'Fee structure ranks bottom 30%. Here's how peers optimized this.'</w:t>
      </w:r>
    </w:p>
    <w:p>
      <w:pPr>
        <w:pStyle w:val="ListParagraph"/>
        <w:numPr>
          <w:ilvl w:val="0"/>
          <w:numId w:val="2"/>
        </w:numPr>
        <w:spacing w:after="60"/>
      </w:pPr>
      <w:r>
        <w:rPr>
          <w:rFonts w:ascii="Arial" w:cs="Arial" w:eastAsia="Arial" w:hAnsi="Arial"/>
          <w:b/>
          <w:bCs/>
          <w:sz w:val="22"/>
          <w:szCs w:val="22"/>
        </w:rPr>
        <w:t xml:space="preserve">Curiosity gaps for tier upgrades: </w:t>
      </w:r>
      <w:r>
        <w:rPr>
          <w:rFonts w:ascii="Arial" w:cs="Arial" w:eastAsia="Arial" w:hAnsi="Arial"/>
          <w:sz w:val="22"/>
          <w:szCs w:val="22"/>
        </w:rPr>
        <w:t xml:space="preserve">Show 3-4 metrics clearly. Blur 5-6 additional with text: 'Upgrade to see: Client concentration risk, Fee efficiency...' Visual curiosity (blurred chart) stronger than text curiosity.</w:t>
      </w:r>
    </w:p>
    <w:p>
      <w:pPr>
        <w:pStyle w:val="ListParagraph"/>
        <w:numPr>
          <w:ilvl w:val="0"/>
          <w:numId w:val="2"/>
        </w:numPr>
        <w:spacing w:after="60"/>
      </w:pPr>
      <w:r>
        <w:rPr>
          <w:rFonts w:ascii="Arial" w:cs="Arial" w:eastAsia="Arial" w:hAnsi="Arial"/>
          <w:b/>
          <w:bCs/>
          <w:sz w:val="22"/>
          <w:szCs w:val="22"/>
        </w:rPr>
        <w:t xml:space="preserve">The 'one more module' trigger: </w:t>
      </w:r>
      <w:r>
        <w:rPr>
          <w:rFonts w:ascii="Arial" w:cs="Arial" w:eastAsia="Arial" w:hAnsi="Arial"/>
          <w:sz w:val="22"/>
          <w:szCs w:val="22"/>
        </w:rPr>
        <w:t xml:space="preserve">'You've completed Foundation. See how your peer group scores on Advanced? (2 min).' Leverages momentum + sunk cost + curiosity gap.</w:t>
      </w:r>
    </w:p>
    <w:p>
      <w:pPr>
        <w:pStyle w:val="ListParagraph"/>
        <w:numPr>
          <w:ilvl w:val="0"/>
          <w:numId w:val="2"/>
        </w:numPr>
        <w:spacing w:after="60"/>
      </w:pPr>
      <w:r>
        <w:rPr>
          <w:rFonts w:ascii="Arial" w:cs="Arial" w:eastAsia="Arial" w:hAnsi="Arial"/>
          <w:b/>
          <w:bCs/>
          <w:sz w:val="22"/>
          <w:szCs w:val="22"/>
        </w:rPr>
        <w:t xml:space="preserve">Social proof: </w:t>
      </w:r>
      <w:r>
        <w:rPr>
          <w:rFonts w:ascii="Arial" w:cs="Arial" w:eastAsia="Arial" w:hAnsi="Arial"/>
          <w:sz w:val="22"/>
          <w:szCs w:val="22"/>
        </w:rPr>
        <w:t xml:space="preserve">'87% of Top Tier advisors have completed all 17 modules.' Specific percentage + peer tier + behavior = credibility. Place near upgrade CTAs, not in onboarding.</w:t>
      </w:r>
    </w:p>
    <w:p>
      <w:pPr>
        <w:pStyle w:val="ListParagraph"/>
        <w:numPr>
          <w:ilvl w:val="0"/>
          <w:numId w:val="2"/>
        </w:numPr>
        <w:spacing w:after="60"/>
      </w:pPr>
      <w:r>
        <w:rPr>
          <w:rFonts w:ascii="Arial" w:cs="Arial" w:eastAsia="Arial" w:hAnsi="Arial"/>
          <w:b/>
          <w:bCs/>
          <w:sz w:val="22"/>
          <w:szCs w:val="22"/>
        </w:rPr>
        <w:t xml:space="preserve">CTA copy that converts: </w:t>
      </w:r>
      <w:r>
        <w:rPr>
          <w:rFonts w:ascii="Arial" w:cs="Arial" w:eastAsia="Arial" w:hAnsi="Arial"/>
          <w:sz w:val="22"/>
          <w:szCs w:val="22"/>
        </w:rPr>
        <w:t xml:space="preserve">'See your efficiency breakdown' beats 'View results.' 'Unlock full benchmarks' beats 'Upgrade now.' Max 5 words. Blue for trust, not red for urgency.</w:t>
      </w:r>
    </w:p>
    <w:p>
      <w:pPr>
        <w:pStyle w:val="Heading2"/>
        <w:spacing w:after="120" w:before="240"/>
      </w:pPr>
      <w:r>
        <w:rPr>
          <w:rFonts w:ascii="Arial" w:cs="Arial" w:eastAsia="Arial" w:hAnsi="Arial"/>
          <w:b/>
          <w:bCs/>
        </w:rPr>
        <w:t xml:space="preserve">3.5 What Makes Them COME BACK</w:t>
      </w:r>
    </w:p>
    <w:p>
      <w:pPr>
        <w:pBdr>
          <w:left w:val="single" w:color="0D9488" w:sz="12" w:space="8"/>
        </w:pBdr>
        <w:spacing w:after="120" w:before="120"/>
        <w:ind w:left="240"/>
      </w:pPr>
      <w:r>
        <w:rPr>
          <w:rFonts w:ascii="Arial" w:cs="Arial" w:eastAsia="Arial" w:hAnsi="Arial"/>
          <w:b/>
          <w:bCs/>
          <w:color w:val="0D9488"/>
          <w:sz w:val="22"/>
          <w:szCs w:val="22"/>
        </w:rPr>
        <w:t xml:space="preserve">Core Driver: </w:t>
      </w:r>
      <w:r>
        <w:rPr>
          <w:rFonts w:ascii="Arial" w:cs="Arial" w:eastAsia="Arial" w:hAnsi="Arial"/>
          <w:sz w:val="22"/>
          <w:szCs w:val="22"/>
        </w:rPr>
        <w:t xml:space="preserve">Score freshness + new content + competitive dynamics. Variable reward timing (not predictable) maximizes re-engagement.</w:t>
      </w:r>
    </w:p>
    <w:p>
      <w:pPr>
        <w:pStyle w:val="ListParagraph"/>
        <w:numPr>
          <w:ilvl w:val="0"/>
          <w:numId w:val="2"/>
        </w:numPr>
        <w:spacing w:after="60"/>
      </w:pPr>
      <w:r>
        <w:rPr>
          <w:rFonts w:ascii="Arial" w:cs="Arial" w:eastAsia="Arial" w:hAnsi="Arial"/>
          <w:b/>
          <w:bCs/>
          <w:sz w:val="22"/>
          <w:szCs w:val="22"/>
        </w:rPr>
        <w:t xml:space="preserve">Score freshness messaging: </w:t>
      </w:r>
      <w:r>
        <w:rPr>
          <w:rFonts w:ascii="Arial" w:cs="Arial" w:eastAsia="Arial" w:hAnsi="Arial"/>
          <w:sz w:val="22"/>
          <w:szCs w:val="22"/>
        </w:rPr>
        <w:t xml:space="preserve">'Your benchmark data is 4 months old. Market conditions evolved. See what's changed.' Frames freshness as opportunity, not failure. Send at 3-4 month mark.</w:t>
      </w:r>
    </w:p>
    <w:p>
      <w:pPr>
        <w:pStyle w:val="ListParagraph"/>
        <w:numPr>
          <w:ilvl w:val="0"/>
          <w:numId w:val="2"/>
        </w:numPr>
        <w:spacing w:after="60"/>
      </w:pPr>
      <w:r>
        <w:rPr>
          <w:rFonts w:ascii="Arial" w:cs="Arial" w:eastAsia="Arial" w:hAnsi="Arial"/>
          <w:b/>
          <w:bCs/>
          <w:sz w:val="22"/>
          <w:szCs w:val="22"/>
        </w:rPr>
        <w:t xml:space="preserve">New content triggers: </w:t>
      </w:r>
      <w:r>
        <w:rPr>
          <w:rFonts w:ascii="Arial" w:cs="Arial" w:eastAsia="Arial" w:hAnsi="Arial"/>
          <w:sz w:val="22"/>
          <w:szCs w:val="22"/>
        </w:rPr>
        <w:t xml:space="preserve">'New module: ESG benchmarking. Early adopters see competitive advantages.' Max 1 email/week. Vary content type: new module (wk 1), peer update (wk 3), case study (wk 5).</w:t>
      </w:r>
    </w:p>
    <w:p>
      <w:pPr>
        <w:pStyle w:val="ListParagraph"/>
        <w:numPr>
          <w:ilvl w:val="0"/>
          <w:numId w:val="2"/>
        </w:numPr>
        <w:spacing w:after="60"/>
      </w:pPr>
      <w:r>
        <w:rPr>
          <w:rFonts w:ascii="Arial" w:cs="Arial" w:eastAsia="Arial" w:hAnsi="Arial"/>
          <w:b/>
          <w:bCs/>
          <w:sz w:val="22"/>
          <w:szCs w:val="22"/>
        </w:rPr>
        <w:t xml:space="preserve">Hook Model (Nir Eyal): </w:t>
      </w:r>
      <w:r>
        <w:rPr>
          <w:rFonts w:ascii="Arial" w:cs="Arial" w:eastAsia="Arial" w:hAnsi="Arial"/>
          <w:sz w:val="22"/>
          <w:szCs w:val="22"/>
        </w:rPr>
        <w:t xml:space="preserve">Trigger (email) &gt; Action (retake) &gt; Variable Reward (new score position) &gt; Investment (more data = richer insights). Variable reward timing releases more dopamine than predictable rewards.</w:t>
      </w:r>
    </w:p>
    <w:p>
      <w:pPr>
        <w:pStyle w:val="ListParagraph"/>
        <w:numPr>
          <w:ilvl w:val="0"/>
          <w:numId w:val="2"/>
        </w:numPr>
        <w:spacing w:after="60"/>
      </w:pPr>
      <w:r>
        <w:rPr>
          <w:rFonts w:ascii="Arial" w:cs="Arial" w:eastAsia="Arial" w:hAnsi="Arial"/>
          <w:b/>
          <w:bCs/>
          <w:sz w:val="22"/>
          <w:szCs w:val="22"/>
        </w:rPr>
        <w:t xml:space="preserve">Ranking change emails: </w:t>
      </w:r>
      <w:r>
        <w:rPr>
          <w:rFonts w:ascii="Arial" w:cs="Arial" w:eastAsia="Arial" w:hAnsi="Arial"/>
          <w:sz w:val="22"/>
          <w:szCs w:val="22"/>
        </w:rPr>
        <w:t xml:space="preserve">Only send when IMPROVEMENT occurs: 'Your efficiency ranking improved from 52nd to 48th percentile.' Decline updates buried in monthly digest, not pushed as headline.</w:t>
      </w:r>
    </w:p>
    <w:p>
      <w:r>
        <w:br w:type="page"/>
      </w:r>
    </w:p>
    <w:p>
      <w:pPr>
        <w:pStyle w:val="Heading2"/>
        <w:spacing w:after="120" w:before="240"/>
      </w:pPr>
      <w:r>
        <w:rPr>
          <w:rFonts w:ascii="Arial" w:cs="Arial" w:eastAsia="Arial" w:hAnsi="Arial"/>
          <w:b/>
          <w:bCs/>
        </w:rPr>
        <w:t xml:space="preserve">3.6 Financial Professional UX Heuristics</w:t>
      </w:r>
    </w:p>
    <w:p>
      <w:pPr>
        <w:spacing w:after="120"/>
      </w:pPr>
      <w:r>
        <w:rPr>
          <w:rFonts w:ascii="Arial" w:cs="Arial" w:eastAsia="Arial" w:hAnsi="Arial"/>
          <w:sz w:val="22"/>
          <w:szCs w:val="22"/>
        </w:rPr>
        <w:t xml:space="preserve">Financial advisors are risk-averse by profession. This affects every UX decision:</w:t>
      </w:r>
    </w:p>
    <w:p>
      <w:pPr>
        <w:pStyle w:val="ListParagraph"/>
        <w:numPr>
          <w:ilvl w:val="0"/>
          <w:numId w:val="2"/>
        </w:numPr>
        <w:spacing w:after="60"/>
      </w:pPr>
      <w:r>
        <w:rPr>
          <w:rFonts w:ascii="Arial" w:cs="Arial" w:eastAsia="Arial" w:hAnsi="Arial"/>
          <w:b/>
          <w:bCs/>
          <w:sz w:val="22"/>
          <w:szCs w:val="22"/>
        </w:rPr>
        <w:t xml:space="preserve">Transparency over surprise: </w:t>
      </w:r>
      <w:r>
        <w:rPr>
          <w:rFonts w:ascii="Arial" w:cs="Arial" w:eastAsia="Arial" w:hAnsi="Arial"/>
          <w:sz w:val="22"/>
          <w:szCs w:val="22"/>
        </w:rPr>
        <w:t xml:space="preserve">Clearly label sample data. Show peer group definition upfront. State 'Your data is anonymized.' Predictability in every interaction.</w:t>
      </w:r>
    </w:p>
    <w:p>
      <w:pPr>
        <w:pStyle w:val="ListParagraph"/>
        <w:numPr>
          <w:ilvl w:val="0"/>
          <w:numId w:val="2"/>
        </w:numPr>
        <w:spacing w:after="60"/>
      </w:pPr>
      <w:r>
        <w:rPr>
          <w:rFonts w:ascii="Arial" w:cs="Arial" w:eastAsia="Arial" w:hAnsi="Arial"/>
          <w:b/>
          <w:bCs/>
          <w:sz w:val="22"/>
          <w:szCs w:val="22"/>
        </w:rPr>
        <w:t xml:space="preserve">Clarity over creativity: </w:t>
      </w:r>
      <w:r>
        <w:rPr>
          <w:rFonts w:ascii="Arial" w:cs="Arial" w:eastAsia="Arial" w:hAnsi="Arial"/>
          <w:sz w:val="22"/>
          <w:szCs w:val="22"/>
        </w:rPr>
        <w:t xml:space="preserve">No playful language ('Boom! Top 10%'). Use: 'Your efficiency score ranks in the 85th percentile.' Data visualization should be immediately legible.</w:t>
      </w:r>
    </w:p>
    <w:p>
      <w:pPr>
        <w:pStyle w:val="ListParagraph"/>
        <w:numPr>
          <w:ilvl w:val="0"/>
          <w:numId w:val="2"/>
        </w:numPr>
        <w:spacing w:after="60"/>
      </w:pPr>
      <w:r>
        <w:rPr>
          <w:rFonts w:ascii="Arial" w:cs="Arial" w:eastAsia="Arial" w:hAnsi="Arial"/>
          <w:b/>
          <w:bCs/>
          <w:sz w:val="22"/>
          <w:szCs w:val="22"/>
        </w:rPr>
        <w:t xml:space="preserve">Credibility signals: </w:t>
      </w:r>
      <w:r>
        <w:rPr>
          <w:rFonts w:ascii="Arial" w:cs="Arial" w:eastAsia="Arial" w:hAnsi="Arial"/>
          <w:sz w:val="22"/>
          <w:szCs w:val="22"/>
        </w:rPr>
        <w:t xml:space="preserve">'Your score is calculated from X data points across Y dimensions.' Link to methodology. Show data recency. Peer group specificity: '1,247 independent RIAs, median AUM $150M-$250M.'</w:t>
      </w:r>
    </w:p>
    <w:p>
      <w:pPr>
        <w:pStyle w:val="ListParagraph"/>
        <w:numPr>
          <w:ilvl w:val="0"/>
          <w:numId w:val="2"/>
        </w:numPr>
        <w:spacing w:after="60"/>
      </w:pPr>
      <w:r>
        <w:rPr>
          <w:rFonts w:ascii="Arial" w:cs="Arial" w:eastAsia="Arial" w:hAnsi="Arial"/>
          <w:b/>
          <w:bCs/>
          <w:sz w:val="22"/>
          <w:szCs w:val="22"/>
        </w:rPr>
        <w:t xml:space="preserve">Privacy controls: </w:t>
      </w:r>
      <w:r>
        <w:rPr>
          <w:rFonts w:ascii="Arial" w:cs="Arial" w:eastAsia="Arial" w:hAnsi="Arial"/>
          <w:sz w:val="22"/>
          <w:szCs w:val="22"/>
        </w:rPr>
        <w:t xml:space="preserve">Granular opt-in/opt-out for benchmarking pool. Transparency on data use. Easy withdrawal. Annual data usage report. Control increases trust and participation.</w:t>
      </w:r>
    </w:p>
    <w:p>
      <w:pPr>
        <w:pStyle w:val="ListParagraph"/>
        <w:numPr>
          <w:ilvl w:val="0"/>
          <w:numId w:val="2"/>
        </w:numPr>
        <w:spacing w:after="60"/>
      </w:pPr>
      <w:r>
        <w:rPr>
          <w:rFonts w:ascii="Arial" w:cs="Arial" w:eastAsia="Arial" w:hAnsi="Arial"/>
          <w:b/>
          <w:bCs/>
          <w:sz w:val="22"/>
          <w:szCs w:val="22"/>
        </w:rPr>
        <w:t xml:space="preserve">Time-conscious design: </w:t>
      </w:r>
      <w:r>
        <w:rPr>
          <w:rFonts w:ascii="Arial" w:cs="Arial" w:eastAsia="Arial" w:hAnsi="Arial"/>
          <w:sz w:val="22"/>
          <w:szCs w:val="22"/>
        </w:rPr>
        <w:t xml:space="preserve">Maximum tolerable friction = 3 clicks to value. Auto-save every question. One-click resume from email. 8-minute assessment ceiling for single session.</w:t>
      </w:r>
    </w:p>
    <w:p>
      <w:r>
        <w:br w:type="page"/>
      </w:r>
    </w:p>
    <w:p>
      <w:pPr>
        <w:pStyle w:val="Heading1"/>
        <w:spacing w:after="120" w:before="360"/>
      </w:pPr>
      <w:r>
        <w:rPr>
          <w:rFonts w:ascii="Arial" w:cs="Arial" w:eastAsia="Arial" w:hAnsi="Arial"/>
          <w:b/>
          <w:bCs/>
        </w:rPr>
        <w:t xml:space="preserve">Section 4: Wireframe-Specific Recommendations</w:t>
      </w:r>
    </w:p>
    <w:p>
      <w:pPr>
        <w:spacing w:after="120"/>
      </w:pPr>
      <w:r>
        <w:rPr>
          <w:rFonts w:ascii="Arial" w:cs="Arial" w:eastAsia="Arial" w:hAnsi="Arial"/>
          <w:sz w:val="22"/>
          <w:szCs w:val="22"/>
        </w:rPr>
        <w:t xml:space="preserve">Mapped to Point93 Blueprint sections and current wireframe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c>
          <w:tcPr>
            <w:tcW w:type="dxa" w:w="16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Panel</w:t>
            </w:r>
          </w:p>
        </w:tc>
        <w:tc>
          <w:tcPr>
            <w:tcW w:type="dxa" w:w="22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Blueprint</w:t>
            </w:r>
          </w:p>
        </w:tc>
        <w:tc>
          <w:tcPr>
            <w:tcW w:type="dxa" w:w="556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Research-Driven Enhancement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Dashboard</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Panels 1-2, Layer 3</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Add sparkline trend indicators to Executive Summary scores. Limit Layer 3 to 3-4 primary CTAs. Lead with P93 Overall Score as largest visual element (F-pattern top-left).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Assessments Landing</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Panel 3</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Show time estimate on every module card (not just DP count). Use endowed progress: highlight 'Quick Win' module with '~5 min' badge. Sort by advisor's ranking order from onboarding.</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Module Home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Panel 4, §5.2</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Lead with time: '~8 minutes' prominent near CTA. Add peer completion stat: '1,200+ advisors have completed this module.' Show What Clients Are Asking teaser if relevant topic exists.</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Assessment Flow</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Panel 5, §5.3</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Progress bar should show percentage not step count. Add 'Save &amp; Exit' with reassurance: 'Your answers are saved. Resume anytime.' Completion screen should trigger Three-Act Reveal, not show final score directly.</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My Areas Landing</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Panel 6, §6.1</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Consider heatmap coloring on area cards (darker = more modules completed). Module preview dots already provide at-a-glance composition. Add sparkline per area for score trend over time.</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Area Page</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Panel 7, §6.3</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Strength Narrative before Growth Opportunity confirmed correct by research. Add score comparison anchoring: show advisor score FIRST, then peer average. Module Priority Assessment should use loss-framed hook: 'PF.2 at 65 is 13 points below your strongest module.'</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Coming Soon</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New, §8.1</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Topic pills create curiosity gap (correct pattern). Add social proof: 'Join 800+ advisors on the waitlist.' Email field with low-friction single-field form maximizes conversion.</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Onboarding</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New, §10</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Public preview must show ALL three sample types (score, treatment, Moenio Lens) per DD-2. Drag-and-drop ranking validated by research. Add 'Accept Default' as primary CTA (most users accept). Show time promise: '15 minutes to your first diagnostic.'</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Settings</w:t>
            </w:r>
          </w:p>
        </w:tc>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New, §16</w:t>
            </w:r>
          </w:p>
        </w:tc>
        <w:tc>
          <w:tcPr>
            <w:tcW w:type="dxa" w:w="5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Privacy toggles first in preferences (builds trust). Upgrade CTA as inline card, not modal (less aggressive for risk-averse audience). Show tier comparison: 'Professional vs. Comprehensive' side-by-side before asking for upgrade.</w:t>
            </w:r>
          </w:p>
        </w:tc>
      </w:tr>
    </w:tbl>
    <w:p>
      <w:r>
        <w:br w:type="page"/>
      </w:r>
    </w:p>
    <w:p>
      <w:pPr>
        <w:pStyle w:val="Heading1"/>
        <w:spacing w:after="120" w:before="360"/>
      </w:pPr>
      <w:r>
        <w:rPr>
          <w:rFonts w:ascii="Arial" w:cs="Arial" w:eastAsia="Arial" w:hAnsi="Arial"/>
          <w:b/>
          <w:bCs/>
        </w:rPr>
        <w:t xml:space="preserve">Section 5: Engagement Model (B=MAP)</w:t>
      </w:r>
    </w:p>
    <w:p>
      <w:pPr>
        <w:spacing w:after="120"/>
      </w:pPr>
      <w:r>
        <w:rPr>
          <w:rFonts w:ascii="Arial" w:cs="Arial" w:eastAsia="Arial" w:hAnsi="Arial"/>
          <w:sz w:val="22"/>
          <w:szCs w:val="22"/>
        </w:rPr>
        <w:t xml:space="preserve">Applied BJ Fogg's Behavior Model to each engagement stage. Behavior occurs when Motivation, Ability, and Prompt align simultaneously.</w:t>
      </w:r>
    </w:p>
    <w:p>
      <w:pPr>
        <w:pStyle w:val="Heading2"/>
        <w:spacing w:after="120" w:before="240"/>
      </w:pPr>
      <w:r>
        <w:rPr>
          <w:rFonts w:ascii="Arial" w:cs="Arial" w:eastAsia="Arial" w:hAnsi="Arial"/>
          <w:b/>
          <w:bCs/>
        </w:rPr>
        <w:t xml:space="preserve">5.1 Stage: Initiation</w:t>
      </w:r>
    </w:p>
    <w:p>
      <w:pPr>
        <w:pStyle w:val="ListParagraph"/>
        <w:numPr>
          <w:ilvl w:val="0"/>
          <w:numId w:val="2"/>
        </w:numPr>
        <w:spacing w:after="60"/>
      </w:pPr>
      <w:r>
        <w:rPr>
          <w:rFonts w:ascii="Arial" w:cs="Arial" w:eastAsia="Arial" w:hAnsi="Arial"/>
          <w:b/>
          <w:bCs/>
          <w:sz w:val="22"/>
          <w:szCs w:val="22"/>
        </w:rPr>
        <w:t xml:space="preserve">Motivation: </w:t>
      </w:r>
      <w:r>
        <w:rPr>
          <w:rFonts w:ascii="Arial" w:cs="Arial" w:eastAsia="Arial" w:hAnsi="Arial"/>
          <w:sz w:val="22"/>
          <w:szCs w:val="22"/>
        </w:rPr>
        <w:t xml:space="preserve">'See how your practice compares to 1,200+ advisors' (curiosity + competitive drive).</w:t>
      </w:r>
    </w:p>
    <w:p>
      <w:pPr>
        <w:pStyle w:val="ListParagraph"/>
        <w:numPr>
          <w:ilvl w:val="0"/>
          <w:numId w:val="2"/>
        </w:numPr>
        <w:spacing w:after="60"/>
      </w:pPr>
      <w:r>
        <w:rPr>
          <w:rFonts w:ascii="Arial" w:cs="Arial" w:eastAsia="Arial" w:hAnsi="Arial"/>
          <w:b/>
          <w:bCs/>
          <w:sz w:val="22"/>
          <w:szCs w:val="22"/>
        </w:rPr>
        <w:t xml:space="preserve">Ability: </w:t>
      </w:r>
      <w:r>
        <w:rPr>
          <w:rFonts w:ascii="Arial" w:cs="Arial" w:eastAsia="Arial" w:hAnsi="Arial"/>
          <w:sz w:val="22"/>
          <w:szCs w:val="22"/>
        </w:rPr>
        <w:t xml:space="preserve">Free tier, no credit card, sample preview visible, 8-minute promise.</w:t>
      </w:r>
    </w:p>
    <w:p>
      <w:pPr>
        <w:pStyle w:val="ListParagraph"/>
        <w:numPr>
          <w:ilvl w:val="0"/>
          <w:numId w:val="2"/>
        </w:numPr>
        <w:spacing w:after="60"/>
      </w:pPr>
      <w:r>
        <w:rPr>
          <w:rFonts w:ascii="Arial" w:cs="Arial" w:eastAsia="Arial" w:hAnsi="Arial"/>
          <w:b/>
          <w:bCs/>
          <w:sz w:val="22"/>
          <w:szCs w:val="22"/>
        </w:rPr>
        <w:t xml:space="preserve">Prompt: </w:t>
      </w:r>
      <w:r>
        <w:rPr>
          <w:rFonts w:ascii="Arial" w:cs="Arial" w:eastAsia="Arial" w:hAnsi="Arial"/>
          <w:sz w:val="22"/>
          <w:szCs w:val="22"/>
        </w:rPr>
        <w:t xml:space="preserve">'Get Your Diagnostic' CTA on public preview page. Clear, benefit-focused.</w:t>
      </w:r>
    </w:p>
    <w:p>
      <w:pPr>
        <w:spacing w:after="120"/>
      </w:pPr>
      <w:r>
        <w:rPr>
          <w:rFonts w:ascii="Arial" w:cs="Arial" w:eastAsia="Arial" w:hAnsi="Arial"/>
          <w:b/>
          <w:bCs/>
          <w:sz w:val="22"/>
          <w:szCs w:val="22"/>
        </w:rPr>
        <w:t xml:space="preserve">Expected conversion: </w:t>
      </w:r>
      <w:r>
        <w:rPr>
          <w:rFonts w:ascii="Arial" w:cs="Arial" w:eastAsia="Arial" w:hAnsi="Arial"/>
          <w:sz w:val="22"/>
          <w:szCs w:val="22"/>
        </w:rPr>
        <w:t xml:space="preserve">30-40% of eligible advisors start assessment.</w:t>
      </w:r>
    </w:p>
    <w:p>
      <w:pPr>
        <w:pStyle w:val="Heading2"/>
        <w:spacing w:after="120" w:before="240"/>
      </w:pPr>
      <w:r>
        <w:rPr>
          <w:rFonts w:ascii="Arial" w:cs="Arial" w:eastAsia="Arial" w:hAnsi="Arial"/>
          <w:b/>
          <w:bCs/>
        </w:rPr>
        <w:t xml:space="preserve">5.2 Stage: Completion</w:t>
      </w:r>
    </w:p>
    <w:p>
      <w:pPr>
        <w:pStyle w:val="ListParagraph"/>
        <w:numPr>
          <w:ilvl w:val="0"/>
          <w:numId w:val="2"/>
        </w:numPr>
        <w:spacing w:after="60"/>
      </w:pPr>
      <w:r>
        <w:rPr>
          <w:rFonts w:ascii="Arial" w:cs="Arial" w:eastAsia="Arial" w:hAnsi="Arial"/>
          <w:b/>
          <w:bCs/>
          <w:sz w:val="22"/>
          <w:szCs w:val="22"/>
        </w:rPr>
        <w:t xml:space="preserve">Motivation: </w:t>
      </w:r>
      <w:r>
        <w:rPr>
          <w:rFonts w:ascii="Arial" w:cs="Arial" w:eastAsia="Arial" w:hAnsi="Arial"/>
          <w:sz w:val="22"/>
          <w:szCs w:val="22"/>
        </w:rPr>
        <w:t xml:space="preserve">Endowed progress (67% complete), sunk cost, curiosity about final score.</w:t>
      </w:r>
    </w:p>
    <w:p>
      <w:pPr>
        <w:pStyle w:val="ListParagraph"/>
        <w:numPr>
          <w:ilvl w:val="0"/>
          <w:numId w:val="2"/>
        </w:numPr>
        <w:spacing w:after="60"/>
      </w:pPr>
      <w:r>
        <w:rPr>
          <w:rFonts w:ascii="Arial" w:cs="Arial" w:eastAsia="Arial" w:hAnsi="Arial"/>
          <w:b/>
          <w:bCs/>
          <w:sz w:val="22"/>
          <w:szCs w:val="22"/>
        </w:rPr>
        <w:t xml:space="preserve">Ability: </w:t>
      </w:r>
      <w:r>
        <w:rPr>
          <w:rFonts w:ascii="Arial" w:cs="Arial" w:eastAsia="Arial" w:hAnsi="Arial"/>
          <w:sz w:val="22"/>
          <w:szCs w:val="22"/>
        </w:rPr>
        <w:t xml:space="preserve">Auto-save every question, one-click resume, session persistence.</w:t>
      </w:r>
    </w:p>
    <w:p>
      <w:pPr>
        <w:pStyle w:val="ListParagraph"/>
        <w:numPr>
          <w:ilvl w:val="0"/>
          <w:numId w:val="2"/>
        </w:numPr>
        <w:spacing w:after="60"/>
      </w:pPr>
      <w:r>
        <w:rPr>
          <w:rFonts w:ascii="Arial" w:cs="Arial" w:eastAsia="Arial" w:hAnsi="Arial"/>
          <w:b/>
          <w:bCs/>
          <w:sz w:val="22"/>
          <w:szCs w:val="22"/>
        </w:rPr>
        <w:t xml:space="preserve">Prompt: </w:t>
      </w:r>
      <w:r>
        <w:rPr>
          <w:rFonts w:ascii="Arial" w:cs="Arial" w:eastAsia="Arial" w:hAnsi="Arial"/>
          <w:sz w:val="22"/>
          <w:szCs w:val="22"/>
        </w:rPr>
        <w:t xml:space="preserve">Progress bar + 'You're 2 minutes from insights' + micro-reward animations.</w:t>
      </w:r>
    </w:p>
    <w:p>
      <w:pPr>
        <w:spacing w:after="120"/>
      </w:pPr>
      <w:r>
        <w:rPr>
          <w:rFonts w:ascii="Arial" w:cs="Arial" w:eastAsia="Arial" w:hAnsi="Arial"/>
          <w:b/>
          <w:bCs/>
          <w:sz w:val="22"/>
          <w:szCs w:val="22"/>
        </w:rPr>
        <w:t xml:space="preserve">Expected conversion: </w:t>
      </w:r>
      <w:r>
        <w:rPr>
          <w:rFonts w:ascii="Arial" w:cs="Arial" w:eastAsia="Arial" w:hAnsi="Arial"/>
          <w:sz w:val="22"/>
          <w:szCs w:val="22"/>
        </w:rPr>
        <w:t xml:space="preserve">70-80% of starters complete assessment.</w:t>
      </w:r>
    </w:p>
    <w:p>
      <w:pPr>
        <w:pStyle w:val="Heading2"/>
        <w:spacing w:after="120" w:before="240"/>
      </w:pPr>
      <w:r>
        <w:rPr>
          <w:rFonts w:ascii="Arial" w:cs="Arial" w:eastAsia="Arial" w:hAnsi="Arial"/>
          <w:b/>
          <w:bCs/>
        </w:rPr>
        <w:t xml:space="preserve">5.3 Stage: Result Engagement</w:t>
      </w:r>
    </w:p>
    <w:p>
      <w:pPr>
        <w:pStyle w:val="ListParagraph"/>
        <w:numPr>
          <w:ilvl w:val="0"/>
          <w:numId w:val="2"/>
        </w:numPr>
        <w:spacing w:after="60"/>
      </w:pPr>
      <w:r>
        <w:rPr>
          <w:rFonts w:ascii="Arial" w:cs="Arial" w:eastAsia="Arial" w:hAnsi="Arial"/>
          <w:b/>
          <w:bCs/>
          <w:sz w:val="22"/>
          <w:szCs w:val="22"/>
        </w:rPr>
        <w:t xml:space="preserve">Motivation: </w:t>
      </w:r>
      <w:r>
        <w:rPr>
          <w:rFonts w:ascii="Arial" w:cs="Arial" w:eastAsia="Arial" w:hAnsi="Arial"/>
          <w:sz w:val="22"/>
          <w:szCs w:val="22"/>
        </w:rPr>
        <w:t xml:space="preserve">Mirror moment (curiosity about score), peer comparison, professional pride.</w:t>
      </w:r>
    </w:p>
    <w:p>
      <w:pPr>
        <w:pStyle w:val="ListParagraph"/>
        <w:numPr>
          <w:ilvl w:val="0"/>
          <w:numId w:val="2"/>
        </w:numPr>
        <w:spacing w:after="60"/>
      </w:pPr>
      <w:r>
        <w:rPr>
          <w:rFonts w:ascii="Arial" w:cs="Arial" w:eastAsia="Arial" w:hAnsi="Arial"/>
          <w:b/>
          <w:bCs/>
          <w:sz w:val="22"/>
          <w:szCs w:val="22"/>
        </w:rPr>
        <w:t xml:space="preserve">Ability: </w:t>
      </w:r>
      <w:r>
        <w:rPr>
          <w:rFonts w:ascii="Arial" w:cs="Arial" w:eastAsia="Arial" w:hAnsi="Arial"/>
          <w:sz w:val="22"/>
          <w:szCs w:val="22"/>
        </w:rPr>
        <w:t xml:space="preserve">Three-Act Reveal (progressive, not overwhelming), clear band labels, strength-first ordering.</w:t>
      </w:r>
    </w:p>
    <w:p>
      <w:pPr>
        <w:pStyle w:val="ListParagraph"/>
        <w:numPr>
          <w:ilvl w:val="0"/>
          <w:numId w:val="2"/>
        </w:numPr>
        <w:spacing w:after="60"/>
      </w:pPr>
      <w:r>
        <w:rPr>
          <w:rFonts w:ascii="Arial" w:cs="Arial" w:eastAsia="Arial" w:hAnsi="Arial"/>
          <w:b/>
          <w:bCs/>
          <w:sz w:val="22"/>
          <w:szCs w:val="22"/>
        </w:rPr>
        <w:t xml:space="preserve">Prompt: </w:t>
      </w:r>
      <w:r>
        <w:rPr>
          <w:rFonts w:ascii="Arial" w:cs="Arial" w:eastAsia="Arial" w:hAnsi="Arial"/>
          <w:sz w:val="22"/>
          <w:szCs w:val="22"/>
        </w:rPr>
        <w:t xml:space="preserve">'View Your Results' CTA from completion screen triggers Three-Act Reveal automatically.</w:t>
      </w:r>
    </w:p>
    <w:p>
      <w:pPr>
        <w:spacing w:after="120"/>
      </w:pPr>
      <w:r>
        <w:rPr>
          <w:rFonts w:ascii="Arial" w:cs="Arial" w:eastAsia="Arial" w:hAnsi="Arial"/>
          <w:b/>
          <w:bCs/>
          <w:sz w:val="22"/>
          <w:szCs w:val="22"/>
        </w:rPr>
        <w:t xml:space="preserve">Expected conversion: </w:t>
      </w:r>
      <w:r>
        <w:rPr>
          <w:rFonts w:ascii="Arial" w:cs="Arial" w:eastAsia="Arial" w:hAnsi="Arial"/>
          <w:sz w:val="22"/>
          <w:szCs w:val="22"/>
        </w:rPr>
        <w:t xml:space="preserve">85%+ view full results after completing assessment.</w:t>
      </w:r>
    </w:p>
    <w:p>
      <w:pPr>
        <w:pStyle w:val="Heading2"/>
        <w:spacing w:after="120" w:before="240"/>
      </w:pPr>
      <w:r>
        <w:rPr>
          <w:rFonts w:ascii="Arial" w:cs="Arial" w:eastAsia="Arial" w:hAnsi="Arial"/>
          <w:b/>
          <w:bCs/>
        </w:rPr>
        <w:t xml:space="preserve">5.4 Stage: Deeper Exploration</w:t>
      </w:r>
    </w:p>
    <w:p>
      <w:pPr>
        <w:pStyle w:val="ListParagraph"/>
        <w:numPr>
          <w:ilvl w:val="0"/>
          <w:numId w:val="2"/>
        </w:numPr>
        <w:spacing w:after="60"/>
      </w:pPr>
      <w:r>
        <w:rPr>
          <w:rFonts w:ascii="Arial" w:cs="Arial" w:eastAsia="Arial" w:hAnsi="Arial"/>
          <w:b/>
          <w:bCs/>
          <w:sz w:val="22"/>
          <w:szCs w:val="22"/>
        </w:rPr>
        <w:t xml:space="preserve">Motivation: </w:t>
      </w:r>
      <w:r>
        <w:rPr>
          <w:rFonts w:ascii="Arial" w:cs="Arial" w:eastAsia="Arial" w:hAnsi="Arial"/>
          <w:sz w:val="22"/>
          <w:szCs w:val="22"/>
        </w:rPr>
        <w:t xml:space="preserve">Curiosity gaps (blurred premium content), social proof, 'one more module' momentum.</w:t>
      </w:r>
    </w:p>
    <w:p>
      <w:pPr>
        <w:pStyle w:val="ListParagraph"/>
        <w:numPr>
          <w:ilvl w:val="0"/>
          <w:numId w:val="2"/>
        </w:numPr>
        <w:spacing w:after="60"/>
      </w:pPr>
      <w:r>
        <w:rPr>
          <w:rFonts w:ascii="Arial" w:cs="Arial" w:eastAsia="Arial" w:hAnsi="Arial"/>
          <w:b/>
          <w:bCs/>
          <w:sz w:val="22"/>
          <w:szCs w:val="22"/>
        </w:rPr>
        <w:t xml:space="preserve">Ability: </w:t>
      </w:r>
      <w:r>
        <w:rPr>
          <w:rFonts w:ascii="Arial" w:cs="Arial" w:eastAsia="Arial" w:hAnsi="Arial"/>
          <w:sz w:val="22"/>
          <w:szCs w:val="22"/>
        </w:rPr>
        <w:t xml:space="preserve">Clear upgrade path, visible tier comparison, next module is '5 minutes.'</w:t>
      </w:r>
    </w:p>
    <w:p>
      <w:pPr>
        <w:pStyle w:val="ListParagraph"/>
        <w:numPr>
          <w:ilvl w:val="0"/>
          <w:numId w:val="2"/>
        </w:numPr>
        <w:spacing w:after="60"/>
      </w:pPr>
      <w:r>
        <w:rPr>
          <w:rFonts w:ascii="Arial" w:cs="Arial" w:eastAsia="Arial" w:hAnsi="Arial"/>
          <w:b/>
          <w:bCs/>
          <w:sz w:val="22"/>
          <w:szCs w:val="22"/>
        </w:rPr>
        <w:t xml:space="preserve">Prompt: </w:t>
      </w:r>
      <w:r>
        <w:rPr>
          <w:rFonts w:ascii="Arial" w:cs="Arial" w:eastAsia="Arial" w:hAnsi="Arial"/>
          <w:sz w:val="22"/>
          <w:szCs w:val="22"/>
        </w:rPr>
        <w:t xml:space="preserve">'87% of Top Tier advisors completed all 17 modules' + 'Unlock Advanced Insights' CTA.</w:t>
      </w:r>
    </w:p>
    <w:p>
      <w:pPr>
        <w:spacing w:after="120"/>
      </w:pPr>
      <w:r>
        <w:rPr>
          <w:rFonts w:ascii="Arial" w:cs="Arial" w:eastAsia="Arial" w:hAnsi="Arial"/>
          <w:b/>
          <w:bCs/>
          <w:sz w:val="22"/>
          <w:szCs w:val="22"/>
        </w:rPr>
        <w:t xml:space="preserve">Expected conversion: </w:t>
      </w:r>
      <w:r>
        <w:rPr>
          <w:rFonts w:ascii="Arial" w:cs="Arial" w:eastAsia="Arial" w:hAnsi="Arial"/>
          <w:sz w:val="22"/>
          <w:szCs w:val="22"/>
        </w:rPr>
        <w:t xml:space="preserve">25-40% upgrade or explore additional modules.</w:t>
      </w:r>
    </w:p>
    <w:p>
      <w:pPr>
        <w:pStyle w:val="Heading2"/>
        <w:spacing w:after="120" w:before="240"/>
      </w:pPr>
      <w:r>
        <w:rPr>
          <w:rFonts w:ascii="Arial" w:cs="Arial" w:eastAsia="Arial" w:hAnsi="Arial"/>
          <w:b/>
          <w:bCs/>
        </w:rPr>
        <w:t xml:space="preserve">5.5 Stage: Retention</w:t>
      </w:r>
    </w:p>
    <w:p>
      <w:pPr>
        <w:pStyle w:val="ListParagraph"/>
        <w:numPr>
          <w:ilvl w:val="0"/>
          <w:numId w:val="2"/>
        </w:numPr>
        <w:spacing w:after="60"/>
      </w:pPr>
      <w:r>
        <w:rPr>
          <w:rFonts w:ascii="Arial" w:cs="Arial" w:eastAsia="Arial" w:hAnsi="Arial"/>
          <w:b/>
          <w:bCs/>
          <w:sz w:val="22"/>
          <w:szCs w:val="22"/>
        </w:rPr>
        <w:t xml:space="preserve">Motivation: </w:t>
      </w:r>
      <w:r>
        <w:rPr>
          <w:rFonts w:ascii="Arial" w:cs="Arial" w:eastAsia="Arial" w:hAnsi="Arial"/>
          <w:sz w:val="22"/>
          <w:szCs w:val="22"/>
        </w:rPr>
        <w:t xml:space="preserve">Score freshness ('4 months old'), new content, ranking improvement.</w:t>
      </w:r>
    </w:p>
    <w:p>
      <w:pPr>
        <w:pStyle w:val="ListParagraph"/>
        <w:numPr>
          <w:ilvl w:val="0"/>
          <w:numId w:val="2"/>
        </w:numPr>
        <w:spacing w:after="60"/>
      </w:pPr>
      <w:r>
        <w:rPr>
          <w:rFonts w:ascii="Arial" w:cs="Arial" w:eastAsia="Arial" w:hAnsi="Arial"/>
          <w:b/>
          <w:bCs/>
          <w:sz w:val="22"/>
          <w:szCs w:val="22"/>
        </w:rPr>
        <w:t xml:space="preserve">Ability: </w:t>
      </w:r>
      <w:r>
        <w:rPr>
          <w:rFonts w:ascii="Arial" w:cs="Arial" w:eastAsia="Arial" w:hAnsi="Arial"/>
          <w:sz w:val="22"/>
          <w:szCs w:val="22"/>
        </w:rPr>
        <w:t xml:space="preserve">One-click retake, data already saved, familiar interface.</w:t>
      </w:r>
    </w:p>
    <w:p>
      <w:pPr>
        <w:pStyle w:val="ListParagraph"/>
        <w:numPr>
          <w:ilvl w:val="0"/>
          <w:numId w:val="2"/>
        </w:numPr>
        <w:spacing w:after="60"/>
      </w:pPr>
      <w:r>
        <w:rPr>
          <w:rFonts w:ascii="Arial" w:cs="Arial" w:eastAsia="Arial" w:hAnsi="Arial"/>
          <w:b/>
          <w:bCs/>
          <w:sz w:val="22"/>
          <w:szCs w:val="22"/>
        </w:rPr>
        <w:t xml:space="preserve">Prompt: </w:t>
      </w:r>
      <w:r>
        <w:rPr>
          <w:rFonts w:ascii="Arial" w:cs="Arial" w:eastAsia="Arial" w:hAnsi="Arial"/>
          <w:sz w:val="22"/>
          <w:szCs w:val="22"/>
        </w:rPr>
        <w:t xml:space="preserve">'Your benchmarks are ready for refresh' email at 3-4 month mark.</w:t>
      </w:r>
    </w:p>
    <w:p>
      <w:pPr>
        <w:spacing w:after="120"/>
      </w:pPr>
      <w:r>
        <w:rPr>
          <w:rFonts w:ascii="Arial" w:cs="Arial" w:eastAsia="Arial" w:hAnsi="Arial"/>
          <w:b/>
          <w:bCs/>
          <w:sz w:val="22"/>
          <w:szCs w:val="22"/>
        </w:rPr>
        <w:t xml:space="preserve">Expected conversion: </w:t>
      </w:r>
      <w:r>
        <w:rPr>
          <w:rFonts w:ascii="Arial" w:cs="Arial" w:eastAsia="Arial" w:hAnsi="Arial"/>
          <w:sz w:val="22"/>
          <w:szCs w:val="22"/>
        </w:rPr>
        <w:t xml:space="preserve">50%+ return within 6 months; 35%+ retake within 12 months.</w:t>
      </w:r>
    </w:p>
    <w:p>
      <w:r>
        <w:br w:type="page"/>
      </w:r>
    </w:p>
    <w:p>
      <w:pPr>
        <w:pStyle w:val="Heading1"/>
        <w:spacing w:after="120" w:before="360"/>
      </w:pPr>
      <w:r>
        <w:rPr>
          <w:rFonts w:ascii="Arial" w:cs="Arial" w:eastAsia="Arial" w:hAnsi="Arial"/>
          <w:b/>
          <w:bCs/>
        </w:rPr>
        <w:t xml:space="preserve">Section 6: Recommended Color System</w:t>
      </w:r>
    </w:p>
    <w:p>
      <w:pPr>
        <w:spacing w:after="120"/>
      </w:pPr>
      <w:r>
        <w:rPr>
          <w:rFonts w:ascii="Arial" w:cs="Arial" w:eastAsia="Arial" w:hAnsi="Arial"/>
          <w:sz w:val="22"/>
          <w:szCs w:val="22"/>
        </w:rPr>
        <w:t xml:space="preserve">Research confirms Point93's four-band color system is well-aligned with best practices. Key enhancement: always pair color with icon and text label for accessibility (WCAG AA minimum 4.5:1 contrast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2280"/>
        <w:gridCol w:w="2280"/>
      </w:tblGrid>
      <w:tr>
        <w:tc>
          <w:tcPr>
            <w:tcW w:type="dxa" w:w="16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Band</w:t>
            </w:r>
          </w:p>
        </w:tc>
        <w:tc>
          <w:tcPr>
            <w:tcW w:type="dxa" w:w="16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16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Hex</w:t>
            </w:r>
          </w:p>
        </w:tc>
        <w:tc>
          <w:tcPr>
            <w:tcW w:type="dxa" w:w="22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Shape Indicator</w:t>
            </w:r>
          </w:p>
        </w:tc>
        <w:tc>
          <w:tcPr>
            <w:tcW w:type="dxa" w:w="22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Accessibility Note</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059669"/>
                <w:sz w:val="20"/>
                <w:szCs w:val="20"/>
              </w:rPr>
              <w:t xml:space="preserve">Top Tier</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Green</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#059669</w:t>
            </w:r>
          </w:p>
        </w:tc>
        <w:tc>
          <w:tcPr>
            <w:tcW w:type="dxa" w:w="2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Filled circle or checkmark</w:t>
            </w:r>
          </w:p>
        </w:tc>
        <w:tc>
          <w:tcPr>
            <w:tcW w:type="dxa" w:w="2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4.5:1 contrast on white bg</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2563EB"/>
                <w:sz w:val="20"/>
                <w:szCs w:val="20"/>
              </w:rPr>
              <w:t xml:space="preserve">Competitive</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Blue</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#2563EB</w:t>
            </w:r>
          </w:p>
        </w:tc>
        <w:tc>
          <w:tcPr>
            <w:tcW w:type="dxa" w:w="2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Half-filled circle or up arrow</w:t>
            </w:r>
          </w:p>
        </w:tc>
        <w:tc>
          <w:tcPr>
            <w:tcW w:type="dxa" w:w="2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4.5:1 contrast on white bg</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D97706"/>
                <w:sz w:val="20"/>
                <w:szCs w:val="20"/>
              </w:rPr>
              <w:t xml:space="preserve">Needs Work</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Amber</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#D97706</w:t>
            </w:r>
          </w:p>
        </w:tc>
        <w:tc>
          <w:tcPr>
            <w:tcW w:type="dxa" w:w="2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Warning triangle or dash</w:t>
            </w:r>
          </w:p>
        </w:tc>
        <w:tc>
          <w:tcPr>
            <w:tcW w:type="dxa" w:w="2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3.0:1 on white; use with bold text</w:t>
            </w:r>
          </w:p>
        </w:tc>
      </w:tr>
      <w:tr>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color w:val="E11D48"/>
                <w:sz w:val="20"/>
                <w:szCs w:val="20"/>
              </w:rPr>
              <w:t xml:space="preserve">At Risk</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Rose</w:t>
            </w:r>
          </w:p>
        </w:tc>
        <w:tc>
          <w:tcPr>
            <w:tcW w:type="dxa" w:w="16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#E11D48</w:t>
            </w:r>
          </w:p>
        </w:tc>
        <w:tc>
          <w:tcPr>
            <w:tcW w:type="dxa" w:w="2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Empty circle or down arrow</w:t>
            </w:r>
          </w:p>
        </w:tc>
        <w:tc>
          <w:tcPr>
            <w:tcW w:type="dxa" w:w="22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4.5:1 contrast on white bg</w:t>
            </w:r>
          </w:p>
        </w:tc>
      </w:tr>
    </w:tbl>
    <w:p>
      <w:pPr>
        <w:pBdr>
          <w:left w:val="single" w:color="2563EB" w:sz="12" w:space="8"/>
        </w:pBdr>
        <w:spacing w:after="120" w:before="120"/>
        <w:ind w:left="240"/>
      </w:pPr>
      <w:r>
        <w:rPr>
          <w:rFonts w:ascii="Arial" w:cs="Arial" w:eastAsia="Arial" w:hAnsi="Arial"/>
          <w:b/>
          <w:bCs/>
          <w:color w:val="2563EB"/>
          <w:sz w:val="22"/>
          <w:szCs w:val="22"/>
        </w:rPr>
        <w:t xml:space="preserve">Enhancement: </w:t>
      </w:r>
      <w:r>
        <w:rPr>
          <w:rFonts w:ascii="Arial" w:cs="Arial" w:eastAsia="Arial" w:hAnsi="Arial"/>
          <w:sz w:val="22"/>
          <w:szCs w:val="22"/>
        </w:rPr>
        <w:t xml:space="preserve">Consider adding a secondary score label alongside numeric score. Example: '73 (A-)' or '73 Top Tier' provides both precision and emotional resonance. SecurityScorecard and Pluralsight both use dual-format scoring successfully.</w:t>
      </w:r>
    </w:p>
    <w:p>
      <w:pPr>
        <w:pStyle w:val="Heading1"/>
        <w:spacing w:after="120" w:before="360"/>
      </w:pPr>
      <w:r>
        <w:rPr>
          <w:rFonts w:ascii="Arial" w:cs="Arial" w:eastAsia="Arial" w:hAnsi="Arial"/>
          <w:b/>
          <w:bCs/>
        </w:rPr>
        <w:t xml:space="preserve">Section 7: Recommended CTA Copy by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Context</w:t>
            </w:r>
          </w:p>
        </w:tc>
        <w:tc>
          <w:tcPr>
            <w:tcW w:type="dxa" w:w="35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CTA</w:t>
            </w:r>
          </w:p>
        </w:tc>
        <w:tc>
          <w:tcPr>
            <w:tcW w:type="dxa" w:w="3580"/>
            <w:tcBorders>
              <w:top w:val="single" w:color="E2E8F0" w:sz="1"/>
              <w:left w:val="single" w:color="E2E8F0" w:sz="1"/>
              <w:bottom w:val="single" w:color="E2E8F0" w:sz="1"/>
              <w:right w:val="single" w:color="E2E8F0" w:sz="1"/>
            </w:tcBorders>
            <w:shd w:fill="2563EB" w:val="clear"/>
            <w:tcMar>
              <w:top w:type="dxa" w:w="80"/>
              <w:left w:type="dxa" w:w="120"/>
              <w:bottom w:type="dxa" w:w="80"/>
              <w:right w:type="dxa" w:w="120"/>
            </w:tcMar>
            <w:vAlign w:val="center"/>
          </w:tcPr>
          <w:p>
            <w:r>
              <w:rPr>
                <w:rFonts w:ascii="Arial" w:cs="Arial" w:eastAsia="Arial" w:hAnsi="Arial"/>
                <w:b/>
                <w:bCs/>
                <w:color w:val="FFFFFF"/>
                <w:sz w:val="20"/>
                <w:szCs w:val="20"/>
              </w:rPr>
              <w:t xml:space="preserve">Why It Works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Public preview</w:t>
            </w:r>
          </w:p>
        </w:tc>
        <w:tc>
          <w:tcPr>
            <w:tcW w:type="dxa" w:w="35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'See Sample Report (1 min)'</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Specificity + time promise + low commitment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Sign-up page</w:t>
            </w:r>
          </w:p>
        </w:tc>
        <w:tc>
          <w:tcPr>
            <w:tcW w:type="dxa" w:w="35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'Get Your Diagnostic'</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Benefit-led, not action-led. Implies valuable output.</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Mid-assessment</w:t>
            </w:r>
          </w:p>
        </w:tc>
        <w:tc>
          <w:tcPr>
            <w:tcW w:type="dxa" w:w="35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'You're 2 minutes from insights'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Sunk cost activation + time reframe + curiosity</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Assessment complete</w:t>
            </w:r>
          </w:p>
        </w:tc>
        <w:tc>
          <w:tcPr>
            <w:tcW w:type="dxa" w:w="35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'View Your Results'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Direct, clear, ownership language ('your' results)</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Viewing limited results</w:t>
            </w:r>
          </w:p>
        </w:tc>
        <w:tc>
          <w:tcPr>
            <w:tcW w:type="dxa" w:w="35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'Unlock Full Benchmarks'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Curiosity gap language + implies hidden value</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After results review</w:t>
            </w:r>
          </w:p>
        </w:tc>
        <w:tc>
          <w:tcPr>
            <w:tcW w:type="dxa" w:w="35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'Explore Next Module (5 min)'</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Forward momentum + time promise + specific</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Email re-engagement</w:t>
            </w:r>
          </w:p>
        </w:tc>
        <w:tc>
          <w:tcPr>
            <w:tcW w:type="dxa" w:w="35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'Refresh Your Insights'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Action-oriented, implies value update, not 'try again'</w:t>
            </w:r>
          </w:p>
        </w:tc>
      </w:tr>
      <w:tr>
        <w:tc>
          <w:tcPr>
            <w:tcW w:type="dxa" w:w="220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val="false"/>
                <w:bCs w:val="false"/>
                <w:sz w:val="20"/>
                <w:szCs w:val="20"/>
              </w:rPr>
              <w:t xml:space="preserve">Tier upgrade</w:t>
            </w:r>
          </w:p>
        </w:tc>
        <w:tc>
          <w:tcPr>
            <w:tcW w:type="dxa" w:w="35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b/>
                <w:bCs/>
                <w:sz w:val="20"/>
                <w:szCs w:val="20"/>
              </w:rPr>
              <w:t xml:space="preserve">'See What Comprehensive Reveals'</w:t>
            </w:r>
          </w:p>
        </w:tc>
        <w:tc>
          <w:tcPr>
            <w:tcW w:type="dxa" w:w="35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sz w:val="20"/>
                <w:szCs w:val="20"/>
              </w:rPr>
              <w:t xml:space="preserve">Curiosity gap + implies hidden data, not cost focus</w:t>
            </w:r>
          </w:p>
        </w:tc>
      </w:tr>
    </w:tbl>
    <w:p>
      <w:pPr>
        <w:spacing w:before="360"/>
      </w:pPr>
    </w:p>
    <w:p>
      <w:pPr>
        <w:pBdr>
          <w:top w:val="single" w:color="2563EB" w:sz="4"/>
        </w:pBdr>
        <w:spacing w:after="120" w:before="240"/>
      </w:pPr>
      <w:r>
        <w:rPr>
          <w:rFonts w:ascii="Arial" w:cs="Arial" w:eastAsia="Arial" w:hAnsi="Arial"/>
          <w:i/>
          <w:iCs/>
          <w:color w:val="6B7280"/>
          <w:sz w:val="22"/>
          <w:szCs w:val="22"/>
        </w:rPr>
        <w:t xml:space="preserve">End of Report</w:t>
      </w:r>
    </w:p>
    <w:p>
      <w:pPr>
        <w:spacing w:after="120"/>
      </w:pPr>
      <w:r>
        <w:rPr>
          <w:rFonts w:ascii="Arial" w:cs="Arial" w:eastAsia="Arial" w:hAnsi="Arial"/>
          <w:sz w:val="22"/>
          <w:szCs w:val="22"/>
        </w:rPr>
        <w:t xml:space="preserve">This document should be referenced alongside the Point93 Blueprint v1.5.1 and Wireframes v1.0 when making design decisions. All findings are grounded in published UX research, competitive analysis, and behavioral science applicable to financial professional audiences.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bCs/>
        <w:color w:val="E11D48"/>
        <w:sz w:val="16"/>
        <w:szCs w:val="16"/>
      </w:rPr>
      <w:t xml:space="preserve">CONFIDENTIAL </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2563EB"/>
        <w:sz w:val="18"/>
        <w:szCs w:val="18"/>
      </w:rPr>
      <w:t xml:space="preserve">Point93 </w:t>
    </w:r>
    <w:r>
      <w:rPr>
        <w:rFonts w:ascii="Arial" w:cs="Arial" w:eastAsia="Arial" w:hAnsi="Arial"/>
        <w:color w:val="6B7280"/>
        <w:sz w:val="18"/>
        <w:szCs w:val="18"/>
      </w:rPr>
      <w:t xml:space="preserve">UX Research &amp; Competitive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563E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2026-03-11T16:26:59.829Z</dcterms:created>
  <dcterms:modified xsi:type="dcterms:W3CDTF">2026-03-11T16:26:59.829Z</dcterms:modified>
</cp:coreProperties>
</file>

<file path=docProps/custom.xml><?xml version="1.0" encoding="utf-8"?>
<Properties xmlns="http://schemas.openxmlformats.org/officeDocument/2006/custom-properties" xmlns:vt="http://schemas.openxmlformats.org/officeDocument/2006/docPropsVTypes"/>
</file>