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1B2A4A"/>
          <w:sz w:val="56"/>
          <w:szCs w:val="56"/>
        </w:rPr>
        <w:t xml:space="preserve">POINT93</w:t>
      </w:r>
    </w:p>
    <w:p>
      <w:pPr>
        <w:spacing w:after="400"/>
        <w:jc w:val="center"/>
      </w:pPr>
      <w:r>
        <w:rPr>
          <w:rFonts w:ascii="Arial" w:cs="Arial" w:eastAsia="Arial" w:hAnsi="Arial"/>
          <w:color w:val="2563EB"/>
          <w:sz w:val="36"/>
          <w:szCs w:val="36"/>
        </w:rPr>
        <w:t xml:space="preserve">Content Architecture Specification</w:t>
      </w:r>
    </w:p>
    <w:p>
      <w:pPr>
        <w:pBdr>
          <w:top w:val="single" w:color="E5E7EB" w:sz="2" w:space="8"/>
        </w:pBdr>
        <w:spacing w:after="120" w:before="400"/>
        <w:jc w:val="center"/>
      </w:pPr>
      <w:r>
        <w:rPr>
          <w:rFonts w:ascii="Arial" w:cs="Arial" w:eastAsia="Arial" w:hAnsi="Arial"/>
          <w:color w:val="6B7280"/>
          <w:sz w:val="22"/>
          <w:szCs w:val="22"/>
        </w:rPr>
        <w:t xml:space="preserve">Version 1.0</w:t>
      </w:r>
    </w:p>
    <w:p>
      <w:pPr>
        <w:spacing w:after="120"/>
        <w:jc w:val="center"/>
      </w:pPr>
      <w:r>
        <w:rPr>
          <w:rFonts w:ascii="Arial" w:cs="Arial" w:eastAsia="Arial" w:hAnsi="Arial"/>
          <w:color w:val="6B7280"/>
          <w:sz w:val="22"/>
          <w:szCs w:val="22"/>
        </w:rPr>
        <w:t xml:space="preserve">March 2026</w:t>
      </w:r>
    </w:p>
    <w:p>
      <w:pPr>
        <w:spacing w:after="120"/>
        <w:jc w:val="center"/>
      </w:pPr>
      <w:r>
        <w:rPr>
          <w:rFonts w:ascii="Arial" w:cs="Arial" w:eastAsia="Arial" w:hAnsi="Arial"/>
          <w:i/>
          <w:iCs/>
          <w:color w:val="6B7280"/>
          <w:sz w:val="20"/>
          <w:szCs w:val="20"/>
        </w:rPr>
        <w:t xml:space="preserve">Companion to Blueprint v1.6.1</w:t>
      </w:r>
    </w:p>
    <w:p>
      <w:pPr>
        <w:spacing w:after="600" w:before="600"/>
      </w:pPr>
    </w:p>
    <w:p>
      <w:pPr>
        <w:jc w:val="center"/>
      </w:pPr>
      <w:r>
        <w:rPr>
          <w:rFonts w:ascii="Arial" w:cs="Arial" w:eastAsia="Arial" w:hAnsi="Arial"/>
          <w:b/>
          <w:bCs/>
          <w:color w:val="E11D48"/>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Document Purpose</w:t>
      </w:r>
    </w:p>
    <w:p>
      <w:pPr>
        <w:spacing w:after="120"/>
      </w:pPr>
      <w:r>
        <w:rPr>
          <w:rFonts w:ascii="Arial" w:cs="Arial" w:eastAsia="Arial" w:hAnsi="Arial"/>
          <w:color w:val="111827"/>
          <w:sz w:val="20"/>
          <w:szCs w:val="20"/>
        </w:rPr>
        <w:t xml:space="preserve">This specification defines the complete content architecture for the Point93 Advisor Diagnostic Platform. It governs which voices, treatments, intelligence layers, and data elements appear at each platform level, at each subscription tier, and at each stage of advisor completion.</w:t>
      </w:r>
    </w:p>
    <w:p>
      <w:pPr>
        <w:spacing w:after="120"/>
      </w:pPr>
      <w:r>
        <w:rPr>
          <w:rFonts w:ascii="Arial" w:cs="Arial" w:eastAsia="Arial" w:hAnsi="Arial"/>
          <w:color w:val="111827"/>
          <w:sz w:val="20"/>
          <w:szCs w:val="20"/>
        </w:rPr>
        <w:t xml:space="preserve">This document is the single source of truth for content allocation decisions. It supersedes any conflicting information in the Blueprint, wireframes, or IA Map.</w:t>
      </w:r>
    </w:p>
    <w:p>
      <w:pPr>
        <w:spacing w:after="120" w:before="120"/>
      </w:pPr>
    </w:p>
    <w:p>
      <w:pPr>
        <w:pStyle w:val="Heading1"/>
        <w:spacing w:after="200" w:before="360"/>
      </w:pPr>
      <w:r>
        <w:rPr>
          <w:rFonts w:ascii="Arial" w:cs="Arial" w:eastAsia="Arial" w:hAnsi="Arial"/>
          <w:b/>
          <w:bCs/>
          <w:color w:val="1B2A4A"/>
          <w:sz w:val="32"/>
          <w:szCs w:val="32"/>
        </w:rPr>
        <w:t xml:space="preserve">2. Architecture Overview</w:t>
      </w:r>
    </w:p>
    <w:p>
      <w:pPr>
        <w:pStyle w:val="Heading2"/>
        <w:spacing w:after="160" w:before="280"/>
      </w:pPr>
      <w:r>
        <w:rPr>
          <w:rFonts w:ascii="Arial" w:cs="Arial" w:eastAsia="Arial" w:hAnsi="Arial"/>
          <w:b/>
          <w:bCs/>
          <w:color w:val="1B2A4A"/>
          <w:sz w:val="26"/>
          <w:szCs w:val="26"/>
        </w:rPr>
        <w:t xml:space="preserve">2.1 Platform Hierarchy</w:t>
      </w:r>
    </w:p>
    <w:p>
      <w:pPr>
        <w:spacing w:after="120"/>
      </w:pPr>
      <w:r>
        <w:rPr>
          <w:rFonts w:ascii="Arial" w:cs="Arial" w:eastAsia="Arial" w:hAnsi="Arial"/>
          <w:color w:val="111827"/>
          <w:sz w:val="20"/>
          <w:szCs w:val="20"/>
        </w:rPr>
        <w:t xml:space="preserve">The Point93 platform is organized into seven content levels, listed from most granular to most aggregated:</w:t>
      </w:r>
    </w:p>
    <w:p>
      <w:pPr>
        <w:pStyle w:val="ListParagraph"/>
        <w:numPr>
          <w:ilvl w:val="0"/>
          <w:numId w:val="2"/>
        </w:numPr>
        <w:spacing w:after="60"/>
      </w:pPr>
      <w:r>
        <w:rPr>
          <w:rFonts w:ascii="Arial" w:cs="Arial" w:eastAsia="Arial" w:hAnsi="Arial"/>
          <w:b/>
          <w:bCs/>
          <w:sz w:val="20"/>
          <w:szCs w:val="20"/>
        </w:rPr>
        <w:t xml:space="preserve">Data Points</w:t>
      </w:r>
      <w:r>
        <w:rPr>
          <w:rFonts w:ascii="Arial" w:cs="Arial" w:eastAsia="Arial" w:hAnsi="Arial"/>
          <w:sz w:val="20"/>
          <w:szCs w:val="20"/>
        </w:rPr>
        <w:t xml:space="preserve"> — 182 individual measurements (the raw inputs)</w:t>
      </w:r>
    </w:p>
    <w:p>
      <w:pPr>
        <w:pStyle w:val="ListParagraph"/>
        <w:numPr>
          <w:ilvl w:val="0"/>
          <w:numId w:val="2"/>
        </w:numPr>
        <w:spacing w:after="60"/>
      </w:pPr>
      <w:r>
        <w:rPr>
          <w:rFonts w:ascii="Arial" w:cs="Arial" w:eastAsia="Arial" w:hAnsi="Arial"/>
          <w:b/>
          <w:bCs/>
          <w:sz w:val="20"/>
          <w:szCs w:val="20"/>
        </w:rPr>
        <w:t xml:space="preserve">Insight Areas (IAs)</w:t>
      </w:r>
      <w:r>
        <w:rPr>
          <w:rFonts w:ascii="Arial" w:cs="Arial" w:eastAsia="Arial" w:hAnsi="Arial"/>
          <w:sz w:val="20"/>
          <w:szCs w:val="20"/>
        </w:rPr>
        <w:t xml:space="preserve"> — 93 thematic groupings of related data points</w:t>
      </w:r>
    </w:p>
    <w:p>
      <w:pPr>
        <w:pStyle w:val="ListParagraph"/>
        <w:numPr>
          <w:ilvl w:val="0"/>
          <w:numId w:val="2"/>
        </w:numPr>
        <w:spacing w:after="60"/>
      </w:pPr>
      <w:r>
        <w:rPr>
          <w:rFonts w:ascii="Arial" w:cs="Arial" w:eastAsia="Arial" w:hAnsi="Arial"/>
          <w:b/>
          <w:bCs/>
          <w:sz w:val="20"/>
          <w:szCs w:val="20"/>
        </w:rPr>
        <w:t xml:space="preserve">Modules</w:t>
      </w:r>
      <w:r>
        <w:rPr>
          <w:rFonts w:ascii="Arial" w:cs="Arial" w:eastAsia="Arial" w:hAnsi="Arial"/>
          <w:sz w:val="20"/>
          <w:szCs w:val="20"/>
        </w:rPr>
        <w:t xml:space="preserve"> — 17 assessment modules containing related IAs</w:t>
      </w:r>
    </w:p>
    <w:p>
      <w:pPr>
        <w:pStyle w:val="ListParagraph"/>
        <w:numPr>
          <w:ilvl w:val="0"/>
          <w:numId w:val="2"/>
        </w:numPr>
        <w:spacing w:after="60"/>
      </w:pPr>
      <w:r>
        <w:rPr>
          <w:rFonts w:ascii="Arial" w:cs="Arial" w:eastAsia="Arial" w:hAnsi="Arial"/>
          <w:b/>
          <w:bCs/>
          <w:sz w:val="20"/>
          <w:szCs w:val="20"/>
        </w:rPr>
        <w:t xml:space="preserve">Area Pages</w:t>
      </w:r>
      <w:r>
        <w:rPr>
          <w:rFonts w:ascii="Arial" w:cs="Arial" w:eastAsia="Arial" w:hAnsi="Arial"/>
          <w:sz w:val="20"/>
          <w:szCs w:val="20"/>
        </w:rPr>
        <w:t xml:space="preserve"> — 6 assessment areas containing related modules</w:t>
      </w:r>
    </w:p>
    <w:p>
      <w:pPr>
        <w:pStyle w:val="ListParagraph"/>
        <w:numPr>
          <w:ilvl w:val="0"/>
          <w:numId w:val="2"/>
        </w:numPr>
        <w:spacing w:after="60"/>
      </w:pPr>
      <w:r>
        <w:rPr>
          <w:rFonts w:ascii="Arial" w:cs="Arial" w:eastAsia="Arial" w:hAnsi="Arial"/>
          <w:b/>
          <w:bCs/>
          <w:sz w:val="20"/>
          <w:szCs w:val="20"/>
        </w:rPr>
        <w:t xml:space="preserve">Dashboard / Executive Summary</w:t>
      </w:r>
      <w:r>
        <w:rPr>
          <w:rFonts w:ascii="Arial" w:cs="Arial" w:eastAsia="Arial" w:hAnsi="Arial"/>
          <w:sz w:val="20"/>
          <w:szCs w:val="20"/>
        </w:rPr>
        <w:t xml:space="preserve"> — Platform-wide overview (evolves with completion)</w:t>
      </w:r>
    </w:p>
    <w:p>
      <w:pPr>
        <w:pStyle w:val="ListParagraph"/>
        <w:numPr>
          <w:ilvl w:val="0"/>
          <w:numId w:val="2"/>
        </w:numPr>
        <w:spacing w:after="60"/>
      </w:pPr>
      <w:r>
        <w:rPr>
          <w:rFonts w:ascii="Arial" w:cs="Arial" w:eastAsia="Arial" w:hAnsi="Arial"/>
          <w:b/>
          <w:bCs/>
          <w:sz w:val="20"/>
          <w:szCs w:val="20"/>
        </w:rPr>
        <w:t xml:space="preserve">BI Products</w:t>
      </w:r>
      <w:r>
        <w:rPr>
          <w:rFonts w:ascii="Arial" w:cs="Arial" w:eastAsia="Arial" w:hAnsi="Arial"/>
          <w:sz w:val="20"/>
          <w:szCs w:val="20"/>
        </w:rPr>
        <w:t xml:space="preserve"> — 7 standalone intelligence products (Earn/Purchase model)</w:t>
      </w:r>
    </w:p>
    <w:p>
      <w:pPr>
        <w:spacing w:after="120" w:before="120"/>
      </w:pPr>
    </w:p>
    <w:p>
      <w:pPr>
        <w:pStyle w:val="Heading2"/>
        <w:spacing w:after="160" w:before="280"/>
      </w:pPr>
      <w:r>
        <w:rPr>
          <w:rFonts w:ascii="Arial" w:cs="Arial" w:eastAsia="Arial" w:hAnsi="Arial"/>
          <w:b/>
          <w:bCs/>
          <w:color w:val="1B2A4A"/>
          <w:sz w:val="26"/>
          <w:szCs w:val="26"/>
        </w:rPr>
        <w:t xml:space="preserve">2.2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Tier</w:t>
            </w:r>
          </w:p>
        </w:tc>
        <w:tc>
          <w:tcPr>
            <w:tcW w:type="dxa" w:w="1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Price</w:t>
            </w:r>
          </w:p>
        </w:tc>
        <w:tc>
          <w:tcPr>
            <w:tcW w:type="dxa" w:w="6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Role</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Free</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Entry point. Data-first, minimal treatments.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$115</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Adds client voice, peer context, deeper data.</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Comprehensive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$175</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Full depth. Competitive intelligence and lens analysis.</w:t>
            </w:r>
          </w:p>
        </w:tc>
      </w:tr>
    </w:tbl>
    <w:p>
      <w:pPr>
        <w:spacing w:after="120" w:before="120"/>
      </w:pPr>
    </w:p>
    <w:p>
      <w:pPr>
        <w:pStyle w:val="Heading2"/>
        <w:spacing w:after="160" w:before="280"/>
      </w:pPr>
      <w:r>
        <w:rPr>
          <w:rFonts w:ascii="Arial" w:cs="Arial" w:eastAsia="Arial" w:hAnsi="Arial"/>
          <w:b/>
          <w:bCs/>
          <w:color w:val="1B2A4A"/>
          <w:sz w:val="26"/>
          <w:szCs w:val="26"/>
        </w:rPr>
        <w:t xml:space="preserve">2.3 Two Dimensions of Progressive Disclosure</w:t>
      </w:r>
    </w:p>
    <w:p>
      <w:pPr>
        <w:spacing w:after="120"/>
      </w:pPr>
      <w:r>
        <w:rPr>
          <w:rFonts w:ascii="Arial" w:cs="Arial" w:eastAsia="Arial" w:hAnsi="Arial"/>
          <w:color w:val="111827"/>
          <w:sz w:val="20"/>
          <w:szCs w:val="20"/>
        </w:rPr>
        <w:t xml:space="preserve">Content in Point93 is governed by two independent dimensions:</w:t>
      </w:r>
    </w:p>
    <w:p>
      <w:pPr>
        <w:pStyle w:val="ListParagraph"/>
        <w:numPr>
          <w:ilvl w:val="0"/>
          <w:numId w:val="2"/>
        </w:numPr>
        <w:spacing w:after="60"/>
      </w:pPr>
      <w:r>
        <w:rPr>
          <w:rFonts w:ascii="Arial" w:cs="Arial" w:eastAsia="Arial" w:hAnsi="Arial"/>
          <w:b/>
          <w:bCs/>
          <w:sz w:val="20"/>
          <w:szCs w:val="20"/>
        </w:rPr>
        <w:t xml:space="preserve">Tier Depth</w:t>
      </w:r>
      <w:r>
        <w:rPr>
          <w:rFonts w:ascii="Arial" w:cs="Arial" w:eastAsia="Arial" w:hAnsi="Arial"/>
          <w:sz w:val="20"/>
          <w:szCs w:val="20"/>
        </w:rPr>
        <w:t xml:space="preserve"> — controls which TYPES of content unlock (Essential → Professional → Comprehensive)</w:t>
      </w:r>
    </w:p>
    <w:p>
      <w:pPr>
        <w:pStyle w:val="ListParagraph"/>
        <w:numPr>
          <w:ilvl w:val="0"/>
          <w:numId w:val="2"/>
        </w:numPr>
        <w:spacing w:after="60"/>
      </w:pPr>
      <w:r>
        <w:rPr>
          <w:rFonts w:ascii="Arial" w:cs="Arial" w:eastAsia="Arial" w:hAnsi="Arial"/>
          <w:b/>
          <w:bCs/>
          <w:sz w:val="20"/>
          <w:szCs w:val="20"/>
        </w:rPr>
        <w:t xml:space="preserve">Completion Depth</w:t>
      </w:r>
      <w:r>
        <w:rPr>
          <w:rFonts w:ascii="Arial" w:cs="Arial" w:eastAsia="Arial" w:hAnsi="Arial"/>
          <w:sz w:val="20"/>
          <w:szCs w:val="20"/>
        </w:rPr>
        <w:t xml:space="preserve"> — controls whether there is enough DATA to display content (1 module → 1 area → 50% → 100%)</w:t>
      </w:r>
    </w:p>
    <w:p>
      <w:pPr>
        <w:spacing w:after="120"/>
      </w:pPr>
      <w:r>
        <w:rPr>
          <w:rFonts w:ascii="Arial" w:cs="Arial" w:eastAsia="Arial" w:hAnsi="Arial"/>
          <w:color w:val="111827"/>
          <w:sz w:val="20"/>
          <w:szCs w:val="20"/>
        </w:rPr>
        <w:t xml:space="preserve">These dimensions operate independently. An advisor on the Comprehensive tier who has only completed one module will see Comprehensive-tier content types, but only for that one module. The Dashboard will not show cross-area patterns because the data does not yet exist.</w:t>
      </w:r>
    </w:p>
    <w:p>
      <w:pPr>
        <w:spacing w:after="120" w:before="120"/>
      </w:pPr>
    </w:p>
    <w:p>
      <w:pPr>
        <w:pStyle w:val="Heading1"/>
        <w:spacing w:after="200" w:before="360"/>
      </w:pPr>
      <w:r>
        <w:rPr>
          <w:rFonts w:ascii="Arial" w:cs="Arial" w:eastAsia="Arial" w:hAnsi="Arial"/>
          <w:b/>
          <w:bCs/>
          <w:color w:val="1B2A4A"/>
          <w:sz w:val="32"/>
          <w:szCs w:val="32"/>
        </w:rPr>
        <w:t xml:space="preserve">3. Content Building Blocks</w:t>
      </w:r>
    </w:p>
    <w:p>
      <w:pPr>
        <w:pStyle w:val="Heading2"/>
        <w:spacing w:after="160" w:before="280"/>
      </w:pPr>
      <w:r>
        <w:rPr>
          <w:rFonts w:ascii="Arial" w:cs="Arial" w:eastAsia="Arial" w:hAnsi="Arial"/>
          <w:b/>
          <w:bCs/>
          <w:color w:val="1B2A4A"/>
          <w:sz w:val="26"/>
          <w:szCs w:val="26"/>
        </w:rPr>
        <w:t xml:space="preserve">3.1 Three 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200"/>
        <w:gridCol w:w="43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Voice</w:t>
            </w:r>
          </w:p>
        </w:tc>
        <w:tc>
          <w:tcPr>
            <w:tcW w:type="dxa" w:w="6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Available From</w:t>
            </w:r>
          </w:p>
        </w:tc>
        <w:tc>
          <w:tcPr>
            <w:tcW w:type="dxa" w:w="43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Point93 Analytical</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V1</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 (all tiers)</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The core diagnostic voice. Data-driven, objective, analytical.</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Client Composite</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V2</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Aggregated client-perspective data and patterns.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External Benchmark</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V3</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Comprehensive</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External market and competitive benchmarking data.</w:t>
            </w:r>
          </w:p>
        </w:tc>
      </w:tr>
    </w:tbl>
    <w:p>
      <w:pPr>
        <w:spacing w:after="120" w:before="120"/>
      </w:pPr>
    </w:p>
    <w:p>
      <w:pPr>
        <w:pStyle w:val="Heading2"/>
        <w:spacing w:after="160" w:before="280"/>
      </w:pPr>
      <w:r>
        <w:rPr>
          <w:rFonts w:ascii="Arial" w:cs="Arial" w:eastAsia="Arial" w:hAnsi="Arial"/>
          <w:b/>
          <w:bCs/>
          <w:color w:val="1B2A4A"/>
          <w:sz w:val="26"/>
          <w:szCs w:val="26"/>
        </w:rPr>
        <w:t xml:space="preserve">3.2 Five Treatments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5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Treatment</w:t>
            </w:r>
          </w:p>
        </w:tc>
        <w:tc>
          <w:tcPr>
            <w:tcW w:type="dxa" w:w="6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65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Key Finding</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Single most important takeaway. Concise, actionable.</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In Practice</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What the data means operationally for the advisor.</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Client Voice</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How clients perceive this area (composite data, not individual).</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Top Performers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What top 5% advisors do differently in this area.</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Your Action Plan</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Prioritized, specific next steps derived from the data.</w:t>
            </w:r>
          </w:p>
        </w:tc>
      </w:tr>
    </w:tbl>
    <w:p>
      <w:pPr>
        <w:spacing w:after="120" w:before="120"/>
      </w:pPr>
    </w:p>
    <w:p>
      <w:pPr>
        <w:pStyle w:val="Heading2"/>
        <w:spacing w:after="160" w:before="280"/>
      </w:pPr>
      <w:r>
        <w:rPr>
          <w:rFonts w:ascii="Arial" w:cs="Arial" w:eastAsia="Arial" w:hAnsi="Arial"/>
          <w:b/>
          <w:bCs/>
          <w:color w:val="1B2A4A"/>
          <w:sz w:val="26"/>
          <w:szCs w:val="26"/>
        </w:rPr>
        <w:t xml:space="preserve">3.3 Three Intelligence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65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Layer</w:t>
            </w:r>
          </w:p>
        </w:tc>
        <w:tc>
          <w:tcPr>
            <w:tcW w:type="dxa" w:w="6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65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Moenio Nudge</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I1</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Dashboard-level contextual prompt. Behavioral insight to motivate next action.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Moenio Lens</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I2</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Competitive reframe through 6 Advisor Lenses (Winning New Clients, Client Retention, COI Referrals, Competitive Defense, Practice Economics, Exit Value &amp; Succession).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Peer Intelligence</w:t>
            </w:r>
          </w:p>
        </w:tc>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I3</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Top 5% behavioral patterns and practices. What the best advisors actually do.</w:t>
            </w:r>
          </w:p>
        </w:tc>
      </w:tr>
    </w:tbl>
    <w:p>
      <w:pPr>
        <w:spacing w:after="120" w:before="120"/>
      </w:pPr>
    </w:p>
    <w:p>
      <w:pPr>
        <w:pStyle w:val="Heading2"/>
        <w:spacing w:after="160" w:before="280"/>
      </w:pPr>
      <w:r>
        <w:rPr>
          <w:rFonts w:ascii="Arial" w:cs="Arial" w:eastAsia="Arial" w:hAnsi="Arial"/>
          <w:b/>
          <w:bCs/>
          <w:color w:val="1B2A4A"/>
          <w:sz w:val="26"/>
          <w:szCs w:val="26"/>
        </w:rPr>
        <w:t xml:space="preserve">3.4 Fifteen Data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26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Element</w:t>
            </w:r>
          </w:p>
        </w:tc>
        <w:tc>
          <w:tcPr>
            <w:tcW w:type="dxa" w:w="6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Score + Band</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Numeric score with shape/color band indicator</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D2</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Percentile Rank</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Position relative to all assessed advisors</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D3</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Historical Comparison</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Score change from prior assessment</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D4</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Trajectory</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Trending direction (up/stable/down)</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D5</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Benchmark Comparison</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Score relative to industry benchmark</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D6</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Gap from Top 5%</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Distance from top-performer threshold</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D7</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Score Distribution</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Spread of scores across modules/areas</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D8</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Strengths</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Highest-performing areas identified from data</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D9</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Gaps</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Lowest-performing areas identified from data</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D10</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Area Score Summary</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Aggregated score per assessment area</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D11</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Cross-Module Patterns</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Recurring themes across multiple modules</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D12</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Average (Peer)</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Average score across all assessed advisors</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D13</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Top 5% Threshold</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Score level of the 95th percentile</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D14</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Peer Behavioral Insight</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What peers in similar profiles do differently</w:t>
            </w:r>
          </w:p>
        </w:tc>
      </w:tr>
      <w:tr>
        <w:tc>
          <w:tcPr>
            <w:tcW w:type="dxa" w:w="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D15</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Completion Progress</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Modules/areas completed out of total</w:t>
            </w:r>
          </w:p>
        </w:tc>
      </w:tr>
    </w:tbl>
    <w:p>
      <w:pPr>
        <w:spacing w:after="120" w:before="120"/>
      </w:pPr>
    </w:p>
    <w:p>
      <w:pPr>
        <w:pStyle w:val="Heading2"/>
        <w:spacing w:after="160" w:before="280"/>
      </w:pPr>
      <w:r>
        <w:rPr>
          <w:rFonts w:ascii="Arial" w:cs="Arial" w:eastAsia="Arial" w:hAnsi="Arial"/>
          <w:b/>
          <w:bCs/>
          <w:color w:val="1B2A4A"/>
          <w:sz w:val="26"/>
          <w:szCs w:val="26"/>
        </w:rPr>
        <w:t xml:space="preserve">3.5 Score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200"/>
        <w:gridCol w:w="3160"/>
      </w:tblGrid>
      <w:tr>
        <w:tc>
          <w:tcPr>
            <w:tcW w:type="dxa" w:w="18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Band</w:t>
            </w:r>
          </w:p>
        </w:tc>
        <w:tc>
          <w:tcPr>
            <w:tcW w:type="dxa" w:w="2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Shape</w:t>
            </w:r>
          </w:p>
        </w:tc>
        <w:tc>
          <w:tcPr>
            <w:tcW w:type="dxa" w:w="1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Color</w:t>
            </w:r>
          </w:p>
        </w:tc>
        <w:tc>
          <w:tcPr>
            <w:tcW w:type="dxa" w:w="1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Hex</w:t>
            </w:r>
          </w:p>
        </w:tc>
        <w:tc>
          <w:tcPr>
            <w:tcW w:type="dxa" w:w="3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Method</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Top Tier</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 (filled circle)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Green</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#059669</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Dynamic CF/VF (K=15)</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Competitive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 (half circle)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Blue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#2563EB</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Dynamic CF/VF (K=15)</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Needs Work</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 (triangle)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Amber</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#D97706</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Dynamic CF/VF (K=15)</w:t>
            </w:r>
          </w:p>
        </w:tc>
      </w:tr>
      <w:tr>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At Risk</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 (diamond)</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Rose</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#E11D48</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Dynamic CF/VF (K=15)</w:t>
            </w:r>
          </w:p>
        </w:tc>
      </w:tr>
    </w:tbl>
    <w:p>
      <w:pPr>
        <w:spacing w:after="120"/>
      </w:pPr>
      <w:r>
        <w:rPr>
          <w:rFonts w:ascii="Arial" w:cs="Arial" w:eastAsia="Arial" w:hAnsi="Arial"/>
          <w:i/>
          <w:iCs/>
          <w:color w:val="111827"/>
          <w:sz w:val="20"/>
          <w:szCs w:val="20"/>
        </w:rPr>
        <w:t xml:space="preserve">Letter grades (A/B/C/D) are retained for initial display only, before the dynamic dataset is large enough for CF/VF calculation. Once the dataset supports dynamic scoring, letter grades are retired.</w:t>
      </w:r>
    </w:p>
    <w:p>
      <w:pPr>
        <w:spacing w:after="120" w:before="120"/>
      </w:pPr>
    </w:p>
    <w:p>
      <w:pPr>
        <w:pStyle w:val="Heading1"/>
        <w:spacing w:after="200" w:before="360"/>
      </w:pPr>
      <w:r>
        <w:rPr>
          <w:rFonts w:ascii="Arial" w:cs="Arial" w:eastAsia="Arial" w:hAnsi="Arial"/>
          <w:b/>
          <w:bCs/>
          <w:color w:val="1B2A4A"/>
          <w:sz w:val="32"/>
          <w:szCs w:val="32"/>
        </w:rPr>
        <w:t xml:space="preserve">4. Scoring &amp; Weights</w:t>
      </w:r>
    </w:p>
    <w:p>
      <w:pPr>
        <w:pStyle w:val="Heading2"/>
        <w:spacing w:after="160" w:before="280"/>
      </w:pPr>
      <w:r>
        <w:rPr>
          <w:rFonts w:ascii="Arial" w:cs="Arial" w:eastAsia="Arial" w:hAnsi="Arial"/>
          <w:b/>
          <w:bCs/>
          <w:color w:val="1B2A4A"/>
          <w:sz w:val="26"/>
          <w:szCs w:val="26"/>
        </w:rPr>
        <w:t xml:space="preserve">4.1 Area Default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2460"/>
      </w:tblGrid>
      <w:tr>
        <w:tc>
          <w:tcPr>
            <w:tcW w:type="dxa" w:w="9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Area #</w:t>
            </w:r>
          </w:p>
        </w:tc>
        <w:tc>
          <w:tcPr>
            <w:tcW w:type="dxa" w:w="6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Area Name</w:t>
            </w:r>
          </w:p>
        </w:tc>
        <w:tc>
          <w:tcPr>
            <w:tcW w:type="dxa" w:w="24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Weight</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w:t>
            </w:r>
          </w:p>
        </w:tc>
        <w:tc>
          <w:tcPr>
            <w:tcW w:type="dxa" w:w="6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Compliance &amp; Regulatory</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15%</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2</w:t>
            </w:r>
          </w:p>
        </w:tc>
        <w:tc>
          <w:tcPr>
            <w:tcW w:type="dxa" w:w="6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Your Firm Platform, Technology &amp; Support</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10%</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3</w:t>
            </w:r>
          </w:p>
        </w:tc>
        <w:tc>
          <w:tcPr>
            <w:tcW w:type="dxa" w:w="6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Investment Strategy, Selection &amp; Performance</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25%</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4</w:t>
            </w:r>
          </w:p>
        </w:tc>
        <w:tc>
          <w:tcPr>
            <w:tcW w:type="dxa" w:w="6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Planning &amp; Implementation</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10%</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5</w:t>
            </w:r>
          </w:p>
        </w:tc>
        <w:tc>
          <w:tcPr>
            <w:tcW w:type="dxa" w:w="6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Client Service &amp; Communication</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20%</w:t>
            </w:r>
          </w:p>
        </w:tc>
      </w:tr>
      <w:tr>
        <w:tc>
          <w:tcPr>
            <w:tcW w:type="dxa" w:w="9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6</w:t>
            </w:r>
          </w:p>
        </w:tc>
        <w:tc>
          <w:tcPr>
            <w:tcW w:type="dxa" w:w="6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Fees, Value &amp; Positioning</w:t>
            </w:r>
          </w:p>
        </w:tc>
        <w:tc>
          <w:tcPr>
            <w:tcW w:type="dxa" w:w="24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20%</w:t>
            </w:r>
          </w:p>
        </w:tc>
      </w:tr>
    </w:tbl>
    <w:p>
      <w:pPr>
        <w:spacing w:after="120"/>
      </w:pPr>
      <w:r>
        <w:rPr>
          <w:rFonts w:ascii="Arial" w:cs="Arial" w:eastAsia="Arial" w:hAnsi="Arial"/>
          <w:color w:val="111827"/>
          <w:sz w:val="20"/>
          <w:szCs w:val="20"/>
        </w:rPr>
        <w:t xml:space="preserve">Total: 100%. Advisors may customize area weights. Module-level and IA-level question weights are not advisor-adjustable.</w:t>
      </w:r>
    </w:p>
    <w:p>
      <w:pPr>
        <w:spacing w:after="120" w:before="120"/>
      </w:pPr>
    </w:p>
    <w:p>
      <w:pPr>
        <w:pStyle w:val="Heading2"/>
        <w:spacing w:after="160" w:before="280"/>
      </w:pPr>
      <w:r>
        <w:rPr>
          <w:rFonts w:ascii="Arial" w:cs="Arial" w:eastAsia="Arial" w:hAnsi="Arial"/>
          <w:b/>
          <w:bCs/>
          <w:color w:val="1B2A4A"/>
          <w:sz w:val="26"/>
          <w:szCs w:val="26"/>
        </w:rPr>
        <w:t xml:space="preserve">4.2 Module Weights</w:t>
      </w:r>
    </w:p>
    <w:p>
      <w:pPr>
        <w:spacing w:after="120"/>
      </w:pPr>
      <w:r>
        <w:rPr>
          <w:rFonts w:ascii="Arial" w:cs="Arial" w:eastAsia="Arial" w:hAnsi="Arial"/>
          <w:color w:val="111827"/>
          <w:sz w:val="20"/>
          <w:szCs w:val="20"/>
        </w:rPr>
        <w:t xml:space="preserve">All 17 modules carry equal weight within their parent area. This is the platform default. Module weights are not advisor-adjustable.</w:t>
      </w:r>
    </w:p>
    <w:p>
      <w:pPr>
        <w:spacing w:after="120" w:before="120"/>
      </w:pPr>
    </w:p>
    <w:p>
      <w:pPr>
        <w:pStyle w:val="Heading2"/>
        <w:spacing w:after="160" w:before="280"/>
      </w:pPr>
      <w:r>
        <w:rPr>
          <w:rFonts w:ascii="Arial" w:cs="Arial" w:eastAsia="Arial" w:hAnsi="Arial"/>
          <w:b/>
          <w:bCs/>
          <w:color w:val="1B2A4A"/>
          <w:sz w:val="26"/>
          <w:szCs w:val="26"/>
        </w:rPr>
        <w:t xml:space="preserve">4.3 Score Rollup</w:t>
      </w:r>
    </w:p>
    <w:p>
      <w:pPr>
        <w:pStyle w:val="ListParagraph"/>
        <w:numPr>
          <w:ilvl w:val="0"/>
          <w:numId w:val="2"/>
        </w:numPr>
        <w:spacing w:after="60"/>
      </w:pPr>
      <w:r>
        <w:rPr>
          <w:rFonts w:ascii="Arial" w:cs="Arial" w:eastAsia="Arial" w:hAnsi="Arial"/>
          <w:b/>
          <w:bCs/>
          <w:sz w:val="20"/>
          <w:szCs w:val="20"/>
        </w:rPr>
        <w:t xml:space="preserve">IA Score</w:t>
      </w:r>
      <w:r>
        <w:rPr>
          <w:rFonts w:ascii="Arial" w:cs="Arial" w:eastAsia="Arial" w:hAnsi="Arial"/>
          <w:sz w:val="20"/>
          <w:szCs w:val="20"/>
        </w:rPr>
        <w:t xml:space="preserve"> = calculated from data point responses (not advisor-adjustable)</w:t>
      </w:r>
    </w:p>
    <w:p>
      <w:pPr>
        <w:pStyle w:val="ListParagraph"/>
        <w:numPr>
          <w:ilvl w:val="0"/>
          <w:numId w:val="2"/>
        </w:numPr>
        <w:spacing w:after="60"/>
      </w:pPr>
      <w:r>
        <w:rPr>
          <w:rFonts w:ascii="Arial" w:cs="Arial" w:eastAsia="Arial" w:hAnsi="Arial"/>
          <w:b/>
          <w:bCs/>
          <w:sz w:val="20"/>
          <w:szCs w:val="20"/>
        </w:rPr>
        <w:t xml:space="preserve">Module Score</w:t>
      </w:r>
      <w:r>
        <w:rPr>
          <w:rFonts w:ascii="Arial" w:cs="Arial" w:eastAsia="Arial" w:hAnsi="Arial"/>
          <w:sz w:val="20"/>
          <w:szCs w:val="20"/>
        </w:rPr>
        <w:t xml:space="preserve"> = calculated from IA scores (not advisor-adjustable)</w:t>
      </w:r>
    </w:p>
    <w:p>
      <w:pPr>
        <w:pStyle w:val="ListParagraph"/>
        <w:numPr>
          <w:ilvl w:val="0"/>
          <w:numId w:val="2"/>
        </w:numPr>
        <w:spacing w:after="60"/>
      </w:pPr>
      <w:r>
        <w:rPr>
          <w:rFonts w:ascii="Arial" w:cs="Arial" w:eastAsia="Arial" w:hAnsi="Arial"/>
          <w:b/>
          <w:bCs/>
          <w:sz w:val="20"/>
          <w:szCs w:val="20"/>
        </w:rPr>
        <w:t xml:space="preserve">Area Score</w:t>
      </w:r>
      <w:r>
        <w:rPr>
          <w:rFonts w:ascii="Arial" w:cs="Arial" w:eastAsia="Arial" w:hAnsi="Arial"/>
          <w:sz w:val="20"/>
          <w:szCs w:val="20"/>
        </w:rPr>
        <w:t xml:space="preserve"> = equal-weighted average of module scores within the area</w:t>
      </w:r>
    </w:p>
    <w:p>
      <w:pPr>
        <w:pStyle w:val="ListParagraph"/>
        <w:numPr>
          <w:ilvl w:val="0"/>
          <w:numId w:val="2"/>
        </w:numPr>
        <w:spacing w:after="60"/>
      </w:pPr>
      <w:r>
        <w:rPr>
          <w:rFonts w:ascii="Arial" w:cs="Arial" w:eastAsia="Arial" w:hAnsi="Arial"/>
          <w:b/>
          <w:bCs/>
          <w:sz w:val="20"/>
          <w:szCs w:val="20"/>
        </w:rPr>
        <w:t xml:space="preserve">Overall Score</w:t>
      </w:r>
      <w:r>
        <w:rPr>
          <w:rFonts w:ascii="Arial" w:cs="Arial" w:eastAsia="Arial" w:hAnsi="Arial"/>
          <w:sz w:val="20"/>
          <w:szCs w:val="20"/>
        </w:rPr>
        <w:t xml:space="preserve"> = weighted average of area scores using area weights above</w:t>
      </w:r>
    </w:p>
    <w:p>
      <w:pPr>
        <w:spacing w:after="120" w:before="120"/>
      </w:pPr>
    </w:p>
    <w:p>
      <w:pPr>
        <w:pStyle w:val="Heading1"/>
        <w:spacing w:after="200" w:before="360"/>
      </w:pPr>
      <w:r>
        <w:rPr>
          <w:rFonts w:ascii="Arial" w:cs="Arial" w:eastAsia="Arial" w:hAnsi="Arial"/>
          <w:b/>
          <w:bCs/>
          <w:color w:val="1B2A4A"/>
          <w:sz w:val="32"/>
          <w:szCs w:val="32"/>
        </w:rPr>
        <w:t xml:space="preserve">5. Content Allocation by Level</w:t>
      </w:r>
    </w:p>
    <w:p>
      <w:pPr>
        <w:spacing w:after="120"/>
      </w:pPr>
      <w:r>
        <w:rPr>
          <w:rFonts w:ascii="Arial" w:cs="Arial" w:eastAsia="Arial" w:hAnsi="Arial"/>
          <w:color w:val="111827"/>
          <w:sz w:val="20"/>
          <w:szCs w:val="20"/>
        </w:rPr>
        <w:t xml:space="preserve">This section defines exactly what content appears at each platform level, by tier. This is the core of the content architecture.</w:t>
      </w:r>
    </w:p>
    <w:p>
      <w:pPr>
        <w:spacing w:after="120" w:before="120"/>
      </w:pPr>
    </w:p>
    <w:p>
      <w:pPr>
        <w:pStyle w:val="Heading2"/>
        <w:spacing w:after="160" w:before="280"/>
      </w:pPr>
      <w:r>
        <w:rPr>
          <w:rFonts w:ascii="Arial" w:cs="Arial" w:eastAsia="Arial" w:hAnsi="Arial"/>
          <w:b/>
          <w:bCs/>
          <w:color w:val="1B2A4A"/>
          <w:sz w:val="26"/>
          <w:szCs w:val="26"/>
        </w:rPr>
        <w:t xml:space="preserve">5.1 Level 1: Data Points</w:t>
      </w:r>
    </w:p>
    <w:p>
      <w:pPr>
        <w:spacing w:after="120"/>
      </w:pPr>
      <w:r>
        <w:rPr>
          <w:rFonts w:ascii="Arial" w:cs="Arial" w:eastAsia="Arial" w:hAnsi="Arial"/>
          <w:color w:val="111827"/>
          <w:sz w:val="20"/>
          <w:szCs w:val="20"/>
        </w:rPr>
        <w:t xml:space="preserve">Data points are pure data. No voices, no treatments, no intelligence layers. The data speaks for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Tier</w:t>
            </w:r>
          </w:p>
        </w:tc>
        <w:tc>
          <w:tcPr>
            <w:tcW w:type="dxa" w:w="7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Data Elements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 (score + band), D5 (benchmark), D7 (distribution)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 + D4 (trajectory), D6 (gap from top 5%)</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Comprehensive</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 + D3 (historical comparison)</w:t>
            </w:r>
          </w:p>
        </w:tc>
      </w:tr>
    </w:tbl>
    <w:p>
      <w:pPr>
        <w:spacing w:after="120" w:before="120"/>
      </w:pPr>
    </w:p>
    <w:p>
      <w:pPr>
        <w:pStyle w:val="Heading2"/>
        <w:spacing w:after="160" w:before="280"/>
      </w:pPr>
      <w:r>
        <w:rPr>
          <w:rFonts w:ascii="Arial" w:cs="Arial" w:eastAsia="Arial" w:hAnsi="Arial"/>
          <w:b/>
          <w:bCs/>
          <w:color w:val="1B2A4A"/>
          <w:sz w:val="26"/>
          <w:szCs w:val="26"/>
        </w:rPr>
        <w:t xml:space="preserve">5.2 Level 2: Insight Areas</w:t>
      </w:r>
    </w:p>
    <w:p>
      <w:pPr>
        <w:spacing w:after="120"/>
      </w:pPr>
      <w:r>
        <w:rPr>
          <w:rFonts w:ascii="Arial" w:cs="Arial" w:eastAsia="Arial" w:hAnsi="Arial"/>
          <w:color w:val="111827"/>
          <w:sz w:val="20"/>
          <w:szCs w:val="20"/>
        </w:rPr>
        <w:t xml:space="preserve">Insight Areas introduce treatments sparingly. One treatment maximum per tier, exclusive (not cumulative).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Tier</w:t>
            </w:r>
          </w:p>
        </w:tc>
        <w:tc>
          <w:tcPr>
            <w:tcW w:type="dxa" w:w="4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Treatments</w:t>
            </w:r>
          </w:p>
        </w:tc>
        <w:tc>
          <w:tcPr>
            <w:tcW w:type="dxa" w:w="3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Model</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w:t>
            </w:r>
          </w:p>
        </w:tc>
        <w:tc>
          <w:tcPr>
            <w:tcW w:type="dxa" w:w="4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None (data only)</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Pure data display</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w:t>
            </w:r>
          </w:p>
        </w:tc>
        <w:tc>
          <w:tcPr>
            <w:tcW w:type="dxa" w:w="4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 Client Voice (1 treatment only)</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Exclusive</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Comprehensive</w:t>
            </w:r>
          </w:p>
        </w:tc>
        <w:tc>
          <w:tcPr>
            <w:tcW w:type="dxa" w:w="4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 Top Performers (1 treatment only)</w:t>
            </w:r>
          </w:p>
        </w:tc>
        <w:tc>
          <w:tcPr>
            <w:tcW w:type="dxa" w:w="3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Exclusive</w:t>
            </w:r>
          </w:p>
        </w:tc>
      </w:tr>
    </w:tbl>
    <w:p>
      <w:pPr>
        <w:spacing w:after="120"/>
      </w:pPr>
      <w:r>
        <w:rPr>
          <w:rFonts w:ascii="Arial" w:cs="Arial" w:eastAsia="Arial" w:hAnsi="Arial"/>
          <w:color w:val="111827"/>
          <w:sz w:val="20"/>
          <w:szCs w:val="20"/>
        </w:rPr>
        <w:t xml:space="preserve">The exclusive model means Professional advisors see only T3 at IA level, not T3+T4. Comprehensive advisors see only T4 at IA level, not T3+T4. This prevents information overload at the most granular named level.</w:t>
      </w:r>
    </w:p>
    <w:p>
      <w:pPr>
        <w:spacing w:after="120" w:before="120"/>
      </w:pPr>
    </w:p>
    <w:p>
      <w:pPr>
        <w:pStyle w:val="Heading2"/>
        <w:spacing w:after="160" w:before="280"/>
      </w:pPr>
      <w:r>
        <w:rPr>
          <w:rFonts w:ascii="Arial" w:cs="Arial" w:eastAsia="Arial" w:hAnsi="Arial"/>
          <w:b/>
          <w:bCs/>
          <w:color w:val="1B2A4A"/>
          <w:sz w:val="26"/>
          <w:szCs w:val="26"/>
        </w:rPr>
        <w:t xml:space="preserve">5.3 Level 3: Modules</w:t>
      </w:r>
    </w:p>
    <w:p>
      <w:pPr>
        <w:spacing w:after="120"/>
      </w:pPr>
      <w:r>
        <w:rPr>
          <w:rFonts w:ascii="Arial" w:cs="Arial" w:eastAsia="Arial" w:hAnsi="Arial"/>
          <w:color w:val="111827"/>
          <w:sz w:val="20"/>
          <w:szCs w:val="20"/>
        </w:rPr>
        <w:t xml:space="preserve">Modules use an advisor-ranking system to determine treatment depth. Advisors rank their top modules by importance. The ranking determines how many treatments each module receives: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Rank Group</w:t>
            </w:r>
          </w:p>
        </w:tc>
        <w:tc>
          <w:tcPr>
            <w:tcW w:type="dxa" w:w="2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Modules</w:t>
            </w:r>
          </w:p>
        </w:tc>
        <w:tc>
          <w:tcPr>
            <w:tcW w:type="dxa" w:w="43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Treatments Shown</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Top 3 (advisor-selected)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3 modules</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4 treatments</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Next 6</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6 modules</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3 treatments</w:t>
            </w:r>
          </w:p>
        </w:tc>
      </w:tr>
      <w:tr>
        <w:tc>
          <w:tcPr>
            <w:tcW w:type="dxa" w:w="3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Remaining</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8 modules</w:t>
            </w:r>
          </w:p>
        </w:tc>
        <w:tc>
          <w:tcPr>
            <w:tcW w:type="dxa" w:w="4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2 treatments</w:t>
            </w:r>
          </w:p>
        </w:tc>
      </w:tr>
    </w:tbl>
    <w:p>
      <w:pPr>
        <w:spacing w:after="120" w:before="120"/>
      </w:pPr>
    </w:p>
    <w:p>
      <w:pPr>
        <w:pStyle w:val="Heading3"/>
        <w:spacing w:after="120" w:before="200"/>
      </w:pPr>
      <w:r>
        <w:rPr>
          <w:rFonts w:ascii="Arial" w:cs="Arial" w:eastAsia="Arial" w:hAnsi="Arial"/>
          <w:b/>
          <w:bCs/>
          <w:color w:val="2563EB"/>
          <w:sz w:val="22"/>
          <w:szCs w:val="22"/>
        </w:rPr>
        <w:t xml:space="preserve">5.3.1 Treatment Priority Sequences</w:t>
      </w:r>
    </w:p>
    <w:p>
      <w:pPr>
        <w:spacing w:after="120"/>
      </w:pPr>
      <w:r>
        <w:rPr>
          <w:rFonts w:ascii="Arial" w:cs="Arial" w:eastAsia="Arial" w:hAnsi="Arial"/>
          <w:color w:val="111827"/>
          <w:sz w:val="20"/>
          <w:szCs w:val="20"/>
        </w:rPr>
        <w:t xml:space="preserve">Each module has a pre-assigned treatment priority sequence. The advisor's ranking determines how far into the sequence each module goes. These sequences are deliberately varied so no two adjacent modules show the same combination.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1400"/>
        <w:gridCol w:w="1400"/>
        <w:gridCol w:w="1400"/>
      </w:tblGrid>
      <w:tr>
        <w:tc>
          <w:tcPr>
            <w:tcW w:type="dxa" w:w="1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Module</w:t>
            </w:r>
          </w:p>
        </w:tc>
        <w:tc>
          <w:tcPr>
            <w:tcW w:type="dxa" w:w="1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 1</w:t>
            </w:r>
          </w:p>
        </w:tc>
        <w:tc>
          <w:tcPr>
            <w:tcW w:type="dxa" w:w="1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 2</w:t>
            </w:r>
          </w:p>
        </w:tc>
        <w:tc>
          <w:tcPr>
            <w:tcW w:type="dxa" w:w="1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 3</w:t>
            </w:r>
          </w:p>
        </w:tc>
        <w:tc>
          <w:tcPr>
            <w:tcW w:type="dxa" w:w="1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 4</w:t>
            </w:r>
          </w:p>
        </w:tc>
        <w:tc>
          <w:tcPr>
            <w:tcW w:type="dxa" w:w="1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 5</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M01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M02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M03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M04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M05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M06</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M07</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M08</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M09</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M10</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M11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M12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M13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M14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M15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M16</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r>
      <w:tr>
        <w:tc>
          <w:tcPr>
            <w:tcW w:type="dxa" w:w="1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M17</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T1</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T3</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T5</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T4</w:t>
            </w:r>
          </w:p>
        </w:tc>
        <w:tc>
          <w:tcPr>
            <w:tcW w:type="dxa" w:w="1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T2</w:t>
            </w:r>
          </w:p>
        </w:tc>
      </w:tr>
    </w:tbl>
    <w:p>
      <w:pPr>
        <w:spacing w:after="120" w:before="120"/>
      </w:pPr>
    </w:p>
    <w:p>
      <w:pPr>
        <w:spacing w:after="120"/>
      </w:pPr>
      <w:r>
        <w:rPr>
          <w:rFonts w:ascii="Arial" w:cs="Arial" w:eastAsia="Arial" w:hAnsi="Arial"/>
          <w:b/>
          <w:bCs/>
          <w:color w:val="111827"/>
          <w:sz w:val="20"/>
          <w:szCs w:val="20"/>
        </w:rPr>
        <w:t xml:space="preserve">Reading the table: </w:t>
      </w:r>
      <w:r>
        <w:rPr>
          <w:rFonts w:ascii="Arial" w:cs="Arial" w:eastAsia="Arial" w:hAnsi="Arial"/>
          <w:color w:val="111827"/>
          <w:sz w:val="20"/>
          <w:szCs w:val="20"/>
        </w:rPr>
        <w:t xml:space="preserve">If M01 is ranked in the advisor's Top 3, it gets 4 treatments: T1, T2, T4, T5. If ranked in the Next 6, it gets 3: T1, T2, T4. If in the Remaining group, it gets 2: T1, T2.</w:t>
      </w:r>
    </w:p>
    <w:p>
      <w:pPr>
        <w:spacing w:after="120" w:before="120"/>
      </w:pPr>
    </w:p>
    <w:p>
      <w:pPr>
        <w:pStyle w:val="Heading2"/>
        <w:spacing w:after="160" w:before="280"/>
      </w:pPr>
      <w:r>
        <w:rPr>
          <w:rFonts w:ascii="Arial" w:cs="Arial" w:eastAsia="Arial" w:hAnsi="Arial"/>
          <w:b/>
          <w:bCs/>
          <w:color w:val="1B2A4A"/>
          <w:sz w:val="26"/>
          <w:szCs w:val="26"/>
        </w:rPr>
        <w:t xml:space="preserve">5.4 Level 4: Area Pages</w:t>
      </w:r>
    </w:p>
    <w:p>
      <w:pPr>
        <w:spacing w:after="120"/>
      </w:pPr>
      <w:r>
        <w:rPr>
          <w:rFonts w:ascii="Arial" w:cs="Arial" w:eastAsia="Arial" w:hAnsi="Arial"/>
          <w:color w:val="111827"/>
          <w:sz w:val="20"/>
          <w:szCs w:val="20"/>
        </w:rPr>
        <w:t xml:space="preserve">Area pages provide a rollup view of all modules within an assessment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Tier</w:t>
            </w:r>
          </w:p>
        </w:tc>
        <w:tc>
          <w:tcPr>
            <w:tcW w:type="dxa" w:w="7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Content Allocation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 (area score + band), D10 (module scores within area), D8/D9 (area-level strengths &amp; gaps), T1 Key Finding</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 + T3 Client Voice, D4/D6 (trajectory &amp; gap from top 5%), D2 (percentile rank)</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Comprehensive</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 + I2 Moenio Lens summary (most relevant lens for this area), D3 (historical comparison), D14 (peer behavioral insight)</w:t>
            </w:r>
          </w:p>
        </w:tc>
      </w:tr>
    </w:tbl>
    <w:p>
      <w:pPr>
        <w:spacing w:after="120" w:before="120"/>
      </w:pPr>
    </w:p>
    <w:p>
      <w:pPr>
        <w:pStyle w:val="Heading2"/>
        <w:spacing w:after="160" w:before="280"/>
      </w:pPr>
      <w:r>
        <w:rPr>
          <w:rFonts w:ascii="Arial" w:cs="Arial" w:eastAsia="Arial" w:hAnsi="Arial"/>
          <w:b/>
          <w:bCs/>
          <w:color w:val="1B2A4A"/>
          <w:sz w:val="26"/>
          <w:szCs w:val="26"/>
        </w:rPr>
        <w:t xml:space="preserve">5.5 Level 5: Dashboard / Executive Summary</w:t>
      </w:r>
    </w:p>
    <w:p>
      <w:pPr>
        <w:spacing w:after="120"/>
      </w:pPr>
      <w:r>
        <w:rPr>
          <w:rFonts w:ascii="Arial" w:cs="Arial" w:eastAsia="Arial" w:hAnsi="Arial"/>
          <w:color w:val="111827"/>
          <w:sz w:val="20"/>
          <w:szCs w:val="20"/>
        </w:rPr>
        <w:t xml:space="preserve">The Dashboard evolves with completion depth. It never shows data it does not have enough modules to support.</w:t>
      </w:r>
    </w:p>
    <w:p>
      <w:pPr>
        <w:spacing w:after="120" w:before="120"/>
      </w:pPr>
    </w:p>
    <w:p>
      <w:pPr>
        <w:pStyle w:val="Heading3"/>
        <w:spacing w:after="120" w:before="200"/>
      </w:pPr>
      <w:r>
        <w:rPr>
          <w:rFonts w:ascii="Arial" w:cs="Arial" w:eastAsia="Arial" w:hAnsi="Arial"/>
          <w:b/>
          <w:bCs/>
          <w:color w:val="2563EB"/>
          <w:sz w:val="22"/>
          <w:szCs w:val="22"/>
        </w:rPr>
        <w:t xml:space="preserve">5.5.1 After 1 Module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Tier</w:t>
            </w:r>
          </w:p>
        </w:tc>
        <w:tc>
          <w:tcPr>
            <w:tcW w:type="dxa" w:w="7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Content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 (module score + band), D8/D9 (from that one module), D15 (progress indicator), next module suggestion</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 + D2 (percentile for that module)</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Comprehensive</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 + I1 Moenio Nudge (contextual prompt)</w:t>
            </w:r>
          </w:p>
        </w:tc>
      </w:tr>
    </w:tbl>
    <w:p>
      <w:pPr>
        <w:spacing w:after="120"/>
      </w:pPr>
      <w:r>
        <w:rPr>
          <w:rFonts w:ascii="Arial" w:cs="Arial" w:eastAsia="Arial" w:hAnsi="Arial"/>
          <w:i/>
          <w:iCs/>
          <w:color w:val="111827"/>
          <w:sz w:val="20"/>
          <w:szCs w:val="20"/>
        </w:rPr>
        <w:t xml:space="preserve">No overall score. No area scores. No treatments on dashboard. Insufficient data.</w:t>
      </w:r>
    </w:p>
    <w:p>
      <w:pPr>
        <w:spacing w:after="120" w:before="120"/>
      </w:pPr>
    </w:p>
    <w:p>
      <w:pPr>
        <w:pStyle w:val="Heading3"/>
        <w:spacing w:after="120" w:before="200"/>
      </w:pPr>
      <w:r>
        <w:rPr>
          <w:rFonts w:ascii="Arial" w:cs="Arial" w:eastAsia="Arial" w:hAnsi="Arial"/>
          <w:b/>
          <w:bCs/>
          <w:color w:val="2563EB"/>
          <w:sz w:val="22"/>
          <w:szCs w:val="22"/>
        </w:rPr>
        <w:t xml:space="preserve">5.5.2 After 1 Full Area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Tier</w:t>
            </w:r>
          </w:p>
        </w:tc>
        <w:tc>
          <w:tcPr>
            <w:tcW w:type="dxa" w:w="7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Content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 (preliminary overall score, marked as partial), D10 (completed area score), D8/D9 (cross-module S&amp;W), sparkline begins, D15</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 + D2 (area percentile), D4 (trajectory within area), T1 Key Finding (area-level)</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Comprehensive</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 + I1 Moenio Nudge (area-aware), D6 (gap from top 5% for area)</w:t>
            </w:r>
          </w:p>
        </w:tc>
      </w:tr>
    </w:tbl>
    <w:p>
      <w:pPr>
        <w:spacing w:after="120" w:before="120"/>
      </w:pPr>
    </w:p>
    <w:p>
      <w:pPr>
        <w:pStyle w:val="Heading3"/>
        <w:spacing w:after="120" w:before="200"/>
      </w:pPr>
      <w:r>
        <w:rPr>
          <w:rFonts w:ascii="Arial" w:cs="Arial" w:eastAsia="Arial" w:hAnsi="Arial"/>
          <w:b/>
          <w:bCs/>
          <w:color w:val="2563EB"/>
          <w:sz w:val="22"/>
          <w:szCs w:val="22"/>
        </w:rPr>
        <w:t xml:space="preserve">5.5.3 After 50%+ Assessed (9+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Tier</w:t>
            </w:r>
          </w:p>
        </w:tc>
        <w:tc>
          <w:tcPr>
            <w:tcW w:type="dxa" w:w="7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Content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 (overall score with completion %), D10 (all scored areas), D8/D9 (platform-wide), D7 (score distribution), sparklines on all scored areas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 + D2 (overall percentile), D4 (trajectory), T1 Key Finding (synthesized across areas), D11 (cross-module patterns)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Comprehensive</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 + I2 Moenio Lens (one most relevant lens), I1 Nudge, D14 (peer behavioral insight)</w:t>
            </w:r>
          </w:p>
        </w:tc>
      </w:tr>
    </w:tbl>
    <w:p>
      <w:pPr>
        <w:spacing w:after="120" w:before="120"/>
      </w:pPr>
    </w:p>
    <w:p>
      <w:pPr>
        <w:pStyle w:val="Heading3"/>
        <w:spacing w:after="120" w:before="200"/>
      </w:pPr>
      <w:r>
        <w:rPr>
          <w:rFonts w:ascii="Arial" w:cs="Arial" w:eastAsia="Arial" w:hAnsi="Arial"/>
          <w:b/>
          <w:bCs/>
          <w:color w:val="2563EB"/>
          <w:sz w:val="22"/>
          <w:szCs w:val="22"/>
        </w:rPr>
        <w:t xml:space="preserve">5.5.4 After 100% Assessed (All 17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Tier</w:t>
            </w:r>
          </w:p>
        </w:tc>
        <w:tc>
          <w:tcPr>
            <w:tcW w:type="dxa" w:w="71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Content</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D1 (final overall score), D10 (all 6 area scores), D8/D9 (complete S&amp;W), D7 (full distribution), D5 (overall benchmark), sparklines for all areas</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Essential + D2 (final percentile), D4 (trajectory), T1 Key Finding (full synthesis), D11 (cross-module patterns), D6 (gap from top 5%)</w:t>
            </w:r>
          </w:p>
        </w:tc>
      </w:tr>
      <w:tr>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Comprehensive</w:t>
            </w:r>
          </w:p>
        </w:tc>
        <w:tc>
          <w:tcPr>
            <w:tcW w:type="dxa" w:w="71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Professional + I2 Moenio Lens (2 most relevant lenses), I1 Nudge, I3 Peer Intelligence (top 5% behavioral patterns), D14, D3 (historical if re-assessment)</w:t>
            </w:r>
          </w:p>
        </w:tc>
      </w:tr>
    </w:tbl>
    <w:p>
      <w:pPr>
        <w:spacing w:after="120" w:before="120"/>
      </w:pPr>
    </w:p>
    <w:p>
      <w:pPr>
        <w:pStyle w:val="Heading2"/>
        <w:spacing w:after="160" w:before="280"/>
      </w:pPr>
      <w:r>
        <w:rPr>
          <w:rFonts w:ascii="Arial" w:cs="Arial" w:eastAsia="Arial" w:hAnsi="Arial"/>
          <w:b/>
          <w:bCs/>
          <w:color w:val="1B2A4A"/>
          <w:sz w:val="26"/>
          <w:szCs w:val="26"/>
        </w:rPr>
        <w:t xml:space="preserve">5.6 Level 6: BI Products</w:t>
      </w:r>
    </w:p>
    <w:p>
      <w:pPr>
        <w:spacing w:after="120"/>
      </w:pPr>
      <w:r>
        <w:rPr>
          <w:rFonts w:ascii="Arial" w:cs="Arial" w:eastAsia="Arial" w:hAnsi="Arial"/>
          <w:color w:val="111827"/>
          <w:sz w:val="20"/>
          <w:szCs w:val="20"/>
        </w:rPr>
        <w:t xml:space="preserve">BI Products operate on a separate Earn/Purchase model. They are not tier-gated. There are 7 active products.</w:t>
      </w:r>
    </w:p>
    <w:p>
      <w:pPr>
        <w:spacing w:after="120" w:before="120"/>
      </w:pPr>
    </w:p>
    <w:p>
      <w:pPr>
        <w:pStyle w:val="Heading3"/>
        <w:spacing w:after="120" w:before="200"/>
      </w:pPr>
      <w:r>
        <w:rPr>
          <w:rFonts w:ascii="Arial" w:cs="Arial" w:eastAsia="Arial" w:hAnsi="Arial"/>
          <w:b/>
          <w:bCs/>
          <w:color w:val="2563EB"/>
          <w:sz w:val="22"/>
          <w:szCs w:val="22"/>
        </w:rPr>
        <w:t xml:space="preserve">5.6.1 Activation Rules</w:t>
      </w:r>
    </w:p>
    <w:p>
      <w:pPr>
        <w:pStyle w:val="ListParagraph"/>
        <w:numPr>
          <w:ilvl w:val="0"/>
          <w:numId w:val="2"/>
        </w:numPr>
        <w:spacing w:after="60"/>
      </w:pPr>
      <w:r>
        <w:rPr>
          <w:rFonts w:ascii="Arial" w:cs="Arial" w:eastAsia="Arial" w:hAnsi="Arial"/>
          <w:b/>
          <w:bCs/>
          <w:sz w:val="20"/>
          <w:szCs w:val="20"/>
        </w:rPr>
        <w:t xml:space="preserve">Completion Gate: </w:t>
      </w:r>
      <w:r>
        <w:rPr>
          <w:rFonts w:ascii="Arial" w:cs="Arial" w:eastAsia="Arial" w:hAnsi="Arial"/>
          <w:sz w:val="20"/>
          <w:szCs w:val="20"/>
        </w:rPr>
        <w:t xml:space="preserve">100% diagnostic completion required (all 17 modules assessed)</w:t>
      </w:r>
    </w:p>
    <w:p>
      <w:pPr>
        <w:pStyle w:val="ListParagraph"/>
        <w:numPr>
          <w:ilvl w:val="0"/>
          <w:numId w:val="2"/>
        </w:numPr>
        <w:spacing w:after="60"/>
      </w:pPr>
      <w:r>
        <w:rPr>
          <w:rFonts w:ascii="Arial" w:cs="Arial" w:eastAsia="Arial" w:hAnsi="Arial"/>
          <w:b/>
          <w:bCs/>
          <w:sz w:val="20"/>
          <w:szCs w:val="20"/>
        </w:rPr>
        <w:t xml:space="preserve">Activation: </w:t>
      </w:r>
      <w:r>
        <w:rPr>
          <w:rFonts w:ascii="Arial" w:cs="Arial" w:eastAsia="Arial" w:hAnsi="Arial"/>
          <w:sz w:val="20"/>
          <w:szCs w:val="20"/>
        </w:rPr>
        <w:t xml:space="preserve">Earn or Purchase per product (independent of tier)</w:t>
      </w:r>
    </w:p>
    <w:p>
      <w:pPr>
        <w:pStyle w:val="ListParagraph"/>
        <w:numPr>
          <w:ilvl w:val="0"/>
          <w:numId w:val="2"/>
        </w:numPr>
        <w:spacing w:after="60"/>
      </w:pPr>
      <w:r>
        <w:rPr>
          <w:rFonts w:ascii="Arial" w:cs="Arial" w:eastAsia="Arial" w:hAnsi="Arial"/>
          <w:b/>
          <w:bCs/>
          <w:sz w:val="20"/>
          <w:szCs w:val="20"/>
        </w:rPr>
        <w:t xml:space="preserve">Before Completion: </w:t>
      </w:r>
      <w:r>
        <w:rPr>
          <w:rFonts w:ascii="Arial" w:cs="Arial" w:eastAsia="Arial" w:hAnsi="Arial"/>
          <w:sz w:val="20"/>
          <w:szCs w:val="20"/>
        </w:rPr>
        <w:t xml:space="preserve">BI Products are visible in the platform UI (motivation to complete) but locked with a clear message</w:t>
      </w:r>
    </w:p>
    <w:p>
      <w:pPr>
        <w:pStyle w:val="ListParagraph"/>
        <w:numPr>
          <w:ilvl w:val="0"/>
          <w:numId w:val="2"/>
        </w:numPr>
        <w:spacing w:after="60"/>
      </w:pPr>
      <w:r>
        <w:rPr>
          <w:rFonts w:ascii="Arial" w:cs="Arial" w:eastAsia="Arial" w:hAnsi="Arial"/>
          <w:b/>
          <w:bCs/>
          <w:sz w:val="20"/>
          <w:szCs w:val="20"/>
        </w:rPr>
        <w:t xml:space="preserve">After Activation: </w:t>
      </w:r>
      <w:r>
        <w:rPr>
          <w:rFonts w:ascii="Arial" w:cs="Arial" w:eastAsia="Arial" w:hAnsi="Arial"/>
          <w:sz w:val="20"/>
          <w:szCs w:val="20"/>
        </w:rPr>
        <w:t xml:space="preserve">Full content depth. All voices, treatments, intelligence layers, and data elements relevant to that product's scope. No rationing.</w:t>
      </w:r>
    </w:p>
    <w:p>
      <w:pPr>
        <w:spacing w:after="120" w:before="120"/>
      </w:pPr>
    </w:p>
    <w:p>
      <w:pPr>
        <w:pStyle w:val="Heading3"/>
        <w:spacing w:after="120" w:before="200"/>
      </w:pPr>
      <w:r>
        <w:rPr>
          <w:rFonts w:ascii="Arial" w:cs="Arial" w:eastAsia="Arial" w:hAnsi="Arial"/>
          <w:b/>
          <w:bCs/>
          <w:color w:val="2563EB"/>
          <w:sz w:val="22"/>
          <w:szCs w:val="22"/>
        </w:rPr>
        <w:t xml:space="preserve">5.6.2 Design Principle</w:t>
      </w:r>
    </w:p>
    <w:p>
      <w:pPr>
        <w:spacing w:after="120"/>
      </w:pPr>
      <w:r>
        <w:rPr>
          <w:rFonts w:ascii="Arial" w:cs="Arial" w:eastAsia="Arial" w:hAnsi="Arial"/>
          <w:color w:val="111827"/>
          <w:sz w:val="20"/>
          <w:szCs w:val="20"/>
        </w:rPr>
        <w:t xml:space="preserve">BI Products are premium deliverables. The advisor chose them, paid for (or earned) them, and provided all the data needed to power them. They work together as a suite and therefore require the full dataset. There is no partial BI output.</w:t>
      </w:r>
    </w:p>
    <w:p>
      <w:pPr>
        <w:spacing w:after="120" w:before="120"/>
      </w:pPr>
    </w:p>
    <w:p>
      <w:pPr>
        <w:pStyle w:val="Heading3"/>
        <w:spacing w:after="120" w:before="200"/>
      </w:pPr>
      <w:r>
        <w:rPr>
          <w:rFonts w:ascii="Arial" w:cs="Arial" w:eastAsia="Arial" w:hAnsi="Arial"/>
          <w:b/>
          <w:bCs/>
          <w:color w:val="2563EB"/>
          <w:sz w:val="22"/>
          <w:szCs w:val="22"/>
        </w:rPr>
        <w:t xml:space="preserve">5.6.3 Product Inventory</w:t>
      </w:r>
    </w:p>
    <w:p>
      <w:pPr>
        <w:spacing w:after="120"/>
      </w:pPr>
      <w:r>
        <w:rPr>
          <w:rFonts w:ascii="Arial" w:cs="Arial" w:eastAsia="Arial" w:hAnsi="Arial"/>
          <w:color w:val="111827"/>
          <w:sz w:val="20"/>
          <w:szCs w:val="20"/>
        </w:rPr>
        <w:t xml:space="preserve">7 active BI Products. RE: Referral Engine is a ghost product (not yet live). Resource Approach is a future product. Neither is included in the current architecture.</w:t>
      </w:r>
    </w:p>
    <w:p>
      <w:pPr>
        <w:spacing w:after="120" w:before="120"/>
      </w:pPr>
    </w:p>
    <w:p>
      <w:pPr>
        <w:pStyle w:val="Heading1"/>
        <w:spacing w:after="200" w:before="360"/>
      </w:pPr>
      <w:r>
        <w:rPr>
          <w:rFonts w:ascii="Arial" w:cs="Arial" w:eastAsia="Arial" w:hAnsi="Arial"/>
          <w:b/>
          <w:bCs/>
          <w:color w:val="1B2A4A"/>
          <w:sz w:val="32"/>
          <w:szCs w:val="32"/>
        </w:rPr>
        <w:t xml:space="preserve">6. Advisor Module Ranking System</w:t>
      </w:r>
    </w:p>
    <w:p>
      <w:pPr>
        <w:spacing w:after="120"/>
      </w:pPr>
      <w:r>
        <w:rPr>
          <w:rFonts w:ascii="Arial" w:cs="Arial" w:eastAsia="Arial" w:hAnsi="Arial"/>
          <w:color w:val="111827"/>
          <w:sz w:val="20"/>
          <w:szCs w:val="20"/>
        </w:rPr>
        <w:t xml:space="preserve">Advisors rank modules by personal importance. This ranking directly controls the depth of content they receive at the module level.</w:t>
      </w:r>
    </w:p>
    <w:p>
      <w:pPr>
        <w:spacing w:after="120" w:before="120"/>
      </w:pPr>
    </w:p>
    <w:p>
      <w:pPr>
        <w:pStyle w:val="Heading2"/>
        <w:spacing w:after="160" w:before="280"/>
      </w:pPr>
      <w:r>
        <w:rPr>
          <w:rFonts w:ascii="Arial" w:cs="Arial" w:eastAsia="Arial" w:hAnsi="Arial"/>
          <w:b/>
          <w:bCs/>
          <w:color w:val="1B2A4A"/>
          <w:sz w:val="26"/>
          <w:szCs w:val="26"/>
        </w:rPr>
        <w:t xml:space="preserve">6.1 Ranking Mechanics</w:t>
      </w:r>
    </w:p>
    <w:p>
      <w:pPr>
        <w:pStyle w:val="ListParagraph"/>
        <w:numPr>
          <w:ilvl w:val="0"/>
          <w:numId w:val="2"/>
        </w:numPr>
        <w:spacing w:after="60"/>
      </w:pPr>
      <w:r>
        <w:rPr>
          <w:rFonts w:ascii="Arial" w:cs="Arial" w:eastAsia="Arial" w:hAnsi="Arial"/>
          <w:b/>
          <w:bCs/>
          <w:sz w:val="20"/>
          <w:szCs w:val="20"/>
        </w:rPr>
        <w:t xml:space="preserve">When: </w:t>
      </w:r>
      <w:r>
        <w:rPr>
          <w:rFonts w:ascii="Arial" w:cs="Arial" w:eastAsia="Arial" w:hAnsi="Arial"/>
          <w:sz w:val="20"/>
          <w:szCs w:val="20"/>
        </w:rPr>
        <w:t xml:space="preserve">After completing assessment, before receiving module results</w:t>
      </w:r>
    </w:p>
    <w:p>
      <w:pPr>
        <w:pStyle w:val="ListParagraph"/>
        <w:numPr>
          <w:ilvl w:val="0"/>
          <w:numId w:val="2"/>
        </w:numPr>
        <w:spacing w:after="60"/>
      </w:pPr>
      <w:r>
        <w:rPr>
          <w:rFonts w:ascii="Arial" w:cs="Arial" w:eastAsia="Arial" w:hAnsi="Arial"/>
          <w:b/>
          <w:bCs/>
          <w:sz w:val="20"/>
          <w:szCs w:val="20"/>
        </w:rPr>
        <w:t xml:space="preserve">Input: </w:t>
      </w:r>
      <w:r>
        <w:rPr>
          <w:rFonts w:ascii="Arial" w:cs="Arial" w:eastAsia="Arial" w:hAnsi="Arial"/>
          <w:sz w:val="20"/>
          <w:szCs w:val="20"/>
        </w:rPr>
        <w:t xml:space="preserve">Advisor ranks all 17 modules from most to least important to their practice</w:t>
      </w:r>
    </w:p>
    <w:p>
      <w:pPr>
        <w:pStyle w:val="ListParagraph"/>
        <w:numPr>
          <w:ilvl w:val="0"/>
          <w:numId w:val="2"/>
        </w:numPr>
        <w:spacing w:after="60"/>
      </w:pPr>
      <w:r>
        <w:rPr>
          <w:rFonts w:ascii="Arial" w:cs="Arial" w:eastAsia="Arial" w:hAnsi="Arial"/>
          <w:b/>
          <w:bCs/>
          <w:sz w:val="20"/>
          <w:szCs w:val="20"/>
        </w:rPr>
        <w:t xml:space="preserve">Output: </w:t>
      </w:r>
      <w:r>
        <w:rPr>
          <w:rFonts w:ascii="Arial" w:cs="Arial" w:eastAsia="Arial" w:hAnsi="Arial"/>
          <w:sz w:val="20"/>
          <w:szCs w:val="20"/>
        </w:rPr>
        <w:t xml:space="preserve">Three groups — Top 3, Next 6, Remaining 8</w:t>
      </w:r>
    </w:p>
    <w:p>
      <w:pPr>
        <w:spacing w:after="120" w:before="120"/>
      </w:pPr>
    </w:p>
    <w:p>
      <w:pPr>
        <w:pStyle w:val="Heading2"/>
        <w:spacing w:after="160" w:before="280"/>
      </w:pPr>
      <w:r>
        <w:rPr>
          <w:rFonts w:ascii="Arial" w:cs="Arial" w:eastAsia="Arial" w:hAnsi="Arial"/>
          <w:b/>
          <w:bCs/>
          <w:color w:val="1B2A4A"/>
          <w:sz w:val="26"/>
          <w:szCs w:val="26"/>
        </w:rPr>
        <w:t xml:space="preserve">6.2 Treatment Allocation by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Rank Group</w:t>
            </w:r>
          </w:p>
        </w:tc>
        <w:tc>
          <w:tcPr>
            <w:tcW w:type="dxa" w:w="2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Treatment Count</w:t>
            </w:r>
          </w:p>
        </w:tc>
        <w:tc>
          <w:tcPr>
            <w:tcW w:type="dxa" w:w="53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Top 3</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4 of 5</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Deep dive. Nearly full treatment suite.</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Next 6</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3 of 5</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Substantial depth. Key treatments for context.</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Remaining 8</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2 of 5</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Focused. Core treatments only.</w:t>
            </w:r>
          </w:p>
        </w:tc>
      </w:tr>
    </w:tbl>
    <w:p>
      <w:pPr>
        <w:spacing w:after="120"/>
      </w:pPr>
      <w:r>
        <w:rPr>
          <w:rFonts w:ascii="Arial" w:cs="Arial" w:eastAsia="Arial" w:hAnsi="Arial"/>
          <w:color w:val="111827"/>
          <w:sz w:val="20"/>
          <w:szCs w:val="20"/>
        </w:rPr>
        <w:t xml:space="preserve">The pre-assigned treatment priority sequences (Section 5.3.1) ensure that even modules receiving only 2 treatments get a varied, non-repetitive combination.</w:t>
      </w:r>
    </w:p>
    <w:p>
      <w:pPr>
        <w:spacing w:after="120" w:before="120"/>
      </w:pPr>
    </w:p>
    <w:p>
      <w:pPr>
        <w:pStyle w:val="Heading1"/>
        <w:spacing w:after="200" w:before="360"/>
      </w:pPr>
      <w:r>
        <w:rPr>
          <w:rFonts w:ascii="Arial" w:cs="Arial" w:eastAsia="Arial" w:hAnsi="Arial"/>
          <w:b/>
          <w:bCs/>
          <w:color w:val="1B2A4A"/>
          <w:sz w:val="32"/>
          <w:szCs w:val="32"/>
        </w:rPr>
        <w:t xml:space="preserve">7. Moenio Lens: The 6 Advisor Lenses</w:t>
      </w:r>
    </w:p>
    <w:p>
      <w:pPr>
        <w:spacing w:after="120"/>
      </w:pPr>
      <w:r>
        <w:rPr>
          <w:rFonts w:ascii="Arial" w:cs="Arial" w:eastAsia="Arial" w:hAnsi="Arial"/>
          <w:color w:val="111827"/>
          <w:sz w:val="20"/>
          <w:szCs w:val="20"/>
        </w:rPr>
        <w:t xml:space="preserve">Moenio Lens (I2) reframes diagnostic data through six strategic perspectives. Each lens re-contextualizes the same underlying scores to highlight different competitive implications.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Lens</w:t>
            </w:r>
          </w:p>
        </w:tc>
        <w:tc>
          <w:tcPr>
            <w:tcW w:type="dxa" w:w="65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Focus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Winning New Clients</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How diagnostic data relates to the advisor's ability to attract new business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Client Retention</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How data correlates with client loyalty and attrition risk</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COI Referrals</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How data positions the advisor for referrals from Centers of Influence</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Competitive Defense</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Where the advisor is vulnerable to competitors and where they are fortified</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Practice Economics</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How data connects to practice profitability and operational efficiency</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Exit Value &amp; Succession</w:t>
            </w:r>
          </w:p>
        </w:tc>
        <w:tc>
          <w:tcPr>
            <w:tcW w:type="dxa" w:w="65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How data affects the long-term enterprise value and succession readiness</w:t>
            </w:r>
          </w:p>
        </w:tc>
      </w:tr>
    </w:tbl>
    <w:p>
      <w:pPr>
        <w:spacing w:after="120" w:before="120"/>
      </w:pPr>
    </w:p>
    <w:p>
      <w:pPr>
        <w:pStyle w:val="Heading2"/>
        <w:spacing w:after="160" w:before="280"/>
      </w:pPr>
      <w:r>
        <w:rPr>
          <w:rFonts w:ascii="Arial" w:cs="Arial" w:eastAsia="Arial" w:hAnsi="Arial"/>
          <w:b/>
          <w:bCs/>
          <w:color w:val="1B2A4A"/>
          <w:sz w:val="26"/>
          <w:szCs w:val="26"/>
        </w:rPr>
        <w:t xml:space="preserve">7.1 Lens Allocation by Level</w:t>
      </w:r>
    </w:p>
    <w:p>
      <w:pPr>
        <w:pStyle w:val="ListParagraph"/>
        <w:numPr>
          <w:ilvl w:val="0"/>
          <w:numId w:val="2"/>
        </w:numPr>
        <w:spacing w:after="60"/>
      </w:pPr>
      <w:r>
        <w:rPr>
          <w:rFonts w:ascii="Arial" w:cs="Arial" w:eastAsia="Arial" w:hAnsi="Arial"/>
          <w:b/>
          <w:bCs/>
          <w:sz w:val="20"/>
          <w:szCs w:val="20"/>
        </w:rPr>
        <w:t xml:space="preserve">Area Pages (Comprehensive): </w:t>
      </w:r>
      <w:r>
        <w:rPr>
          <w:rFonts w:ascii="Arial" w:cs="Arial" w:eastAsia="Arial" w:hAnsi="Arial"/>
          <w:sz w:val="20"/>
          <w:szCs w:val="20"/>
        </w:rPr>
        <w:t xml:space="preserve">I2 summary using the single most relevant lens for that area</w:t>
      </w:r>
    </w:p>
    <w:p>
      <w:pPr>
        <w:pStyle w:val="ListParagraph"/>
        <w:numPr>
          <w:ilvl w:val="0"/>
          <w:numId w:val="2"/>
        </w:numPr>
        <w:spacing w:after="60"/>
      </w:pPr>
      <w:r>
        <w:rPr>
          <w:rFonts w:ascii="Arial" w:cs="Arial" w:eastAsia="Arial" w:hAnsi="Arial"/>
          <w:b/>
          <w:bCs/>
          <w:sz w:val="20"/>
          <w:szCs w:val="20"/>
        </w:rPr>
        <w:t xml:space="preserve">Dashboard at 50%: </w:t>
      </w:r>
      <w:r>
        <w:rPr>
          <w:rFonts w:ascii="Arial" w:cs="Arial" w:eastAsia="Arial" w:hAnsi="Arial"/>
          <w:sz w:val="20"/>
          <w:szCs w:val="20"/>
        </w:rPr>
        <w:t xml:space="preserve">I2 using the 1 most relevant lens based on the advisor's profile</w:t>
      </w:r>
    </w:p>
    <w:p>
      <w:pPr>
        <w:pStyle w:val="ListParagraph"/>
        <w:numPr>
          <w:ilvl w:val="0"/>
          <w:numId w:val="2"/>
        </w:numPr>
        <w:spacing w:after="60"/>
      </w:pPr>
      <w:r>
        <w:rPr>
          <w:rFonts w:ascii="Arial" w:cs="Arial" w:eastAsia="Arial" w:hAnsi="Arial"/>
          <w:b/>
          <w:bCs/>
          <w:sz w:val="20"/>
          <w:szCs w:val="20"/>
        </w:rPr>
        <w:t xml:space="preserve">Dashboard at 100%: </w:t>
      </w:r>
      <w:r>
        <w:rPr>
          <w:rFonts w:ascii="Arial" w:cs="Arial" w:eastAsia="Arial" w:hAnsi="Arial"/>
          <w:sz w:val="20"/>
          <w:szCs w:val="20"/>
        </w:rPr>
        <w:t xml:space="preserve">I2 surfaces the 2 most relevant lenses</w:t>
      </w:r>
    </w:p>
    <w:p>
      <w:pPr>
        <w:pStyle w:val="ListParagraph"/>
        <w:numPr>
          <w:ilvl w:val="0"/>
          <w:numId w:val="2"/>
        </w:numPr>
        <w:spacing w:after="60"/>
      </w:pPr>
      <w:r>
        <w:rPr>
          <w:rFonts w:ascii="Arial" w:cs="Arial" w:eastAsia="Arial" w:hAnsi="Arial"/>
          <w:b/>
          <w:bCs/>
          <w:sz w:val="20"/>
          <w:szCs w:val="20"/>
        </w:rPr>
        <w:t xml:space="preserve">BI Products: </w:t>
      </w:r>
      <w:r>
        <w:rPr>
          <w:rFonts w:ascii="Arial" w:cs="Arial" w:eastAsia="Arial" w:hAnsi="Arial"/>
          <w:sz w:val="20"/>
          <w:szCs w:val="20"/>
        </w:rPr>
        <w:t xml:space="preserve">I2 using the lens most aligned to the product's domain</w:t>
      </w:r>
    </w:p>
    <w:p>
      <w:pPr>
        <w:spacing w:after="120" w:before="120"/>
      </w:pPr>
    </w:p>
    <w:p>
      <w:pPr>
        <w:pStyle w:val="Heading1"/>
        <w:spacing w:after="200" w:before="360"/>
      </w:pPr>
      <w:r>
        <w:rPr>
          <w:rFonts w:ascii="Arial" w:cs="Arial" w:eastAsia="Arial" w:hAnsi="Arial"/>
          <w:b/>
          <w:bCs/>
          <w:color w:val="1B2A4A"/>
          <w:sz w:val="32"/>
          <w:szCs w:val="32"/>
        </w:rPr>
        <w:t xml:space="preserve">8. Architecture Decision Log</w:t>
      </w:r>
    </w:p>
    <w:p>
      <w:pPr>
        <w:spacing w:after="120"/>
      </w:pPr>
      <w:r>
        <w:rPr>
          <w:rFonts w:ascii="Arial" w:cs="Arial" w:eastAsia="Arial" w:hAnsi="Arial"/>
          <w:color w:val="111827"/>
          <w:sz w:val="20"/>
          <w:szCs w:val="20"/>
        </w:rPr>
        <w:t xml:space="preserve">Key decisions made during the content architecture design process, for reference and auditability.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500"/>
        <w:gridCol w:w="1360"/>
      </w:tblGrid>
      <w:tr>
        <w:tc>
          <w:tcPr>
            <w:tcW w:type="dxa" w:w="5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75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Decision</w:t>
            </w:r>
          </w:p>
        </w:tc>
        <w:tc>
          <w:tcPr>
            <w:tcW w:type="dxa" w:w="13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Score bands use dynamic CF/VF formula (K=15), not fixed ranges</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2</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Letter grades kept for initial display only; retire when dynamic dataset is ready</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3</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Area weights: 15/10/25/10/20/20 (platform defaults, advisor-adjustable)</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4</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Module weights: equal within each area (platform default, not advisor-adjustable)</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5</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IA-level treatment model is exclusive (not cumulative), 1 treatment max per tier</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6</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Module-level treatment depth is driven by advisor ranking (4/3/2 model)</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7</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Treatment priority sequences are pre-assigned per module (17-module map)</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8</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Dashboard evolves by completion depth across 4 milestones</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9</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BI Products require 100% completion to activate (all or nothing)</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10</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Coaching language is prohibited; Point93 measures and compares, never coaches</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11</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Blueprint language scrub applied (v1.6.0 → v1.6.1, 15 fixes)</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12</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Moenio Lens uses 6 Advisor Lenses for competitive reframe</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13</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Two dimensions of progressive disclosure: tier depth × completion depth</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14</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182 data points (181 original + profitability analysis in M17)</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r>
        <w:tc>
          <w:tcPr>
            <w:tcW w:type="dxa" w:w="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15</w:t>
            </w:r>
          </w:p>
        </w:tc>
        <w:tc>
          <w:tcPr>
            <w:tcW w:type="dxa" w:w="75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7 active BI Products; RE (ghost) and Resource Approach (future) excluded</w:t>
            </w:r>
          </w:p>
        </w:tc>
        <w:tc>
          <w:tcPr>
            <w:tcW w:type="dxa" w:w="1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Locked</w:t>
            </w:r>
          </w:p>
        </w:tc>
      </w:tr>
    </w:tbl>
    <w:p>
      <w:pPr>
        <w:spacing w:after="120" w:before="120"/>
      </w:pPr>
    </w:p>
    <w:p>
      <w:pPr>
        <w:pStyle w:val="Heading1"/>
        <w:spacing w:after="200" w:before="360"/>
      </w:pPr>
      <w:r>
        <w:rPr>
          <w:rFonts w:ascii="Arial" w:cs="Arial" w:eastAsia="Arial" w:hAnsi="Arial"/>
          <w:b/>
          <w:bCs/>
          <w:color w:val="1B2A4A"/>
          <w:sz w:val="32"/>
          <w:szCs w:val="32"/>
        </w:rPr>
        <w:t xml:space="preserve">9. Remaining Work Items</w:t>
      </w:r>
    </w:p>
    <w:p>
      <w:pPr>
        <w:spacing w:after="120"/>
      </w:pPr>
      <w:r>
        <w:rPr>
          <w:rFonts w:ascii="Arial" w:cs="Arial" w:eastAsia="Arial" w:hAnsi="Arial"/>
          <w:color w:val="111827"/>
          <w:sz w:val="20"/>
          <w:szCs w:val="20"/>
        </w:rPr>
        <w:t xml:space="preserve">The following items are identified but not yet completed as of this specification version: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c>
          <w:tcPr>
            <w:tcW w:type="dxa" w:w="24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Item</w:t>
            </w:r>
          </w:p>
        </w:tc>
        <w:tc>
          <w:tcPr>
            <w:tcW w:type="dxa" w:w="50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c>
          <w:tcPr>
            <w:tcW w:type="dxa" w:w="19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Priority</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Data Point Reconciliation</w:t>
            </w:r>
          </w:p>
        </w:tc>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Reconcile dp_registry.json from 178 to 182 data points (add profitability analysis to M17)</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High</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BI Stage Reconciliation</w:t>
            </w:r>
          </w:p>
        </w:tc>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Update framework docs to match AI Output stage counts (PP=10, CO=12)</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High</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Benchmark Data Strategy</w:t>
            </w:r>
          </w:p>
        </w:tc>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Define source, seeding approach, and update cadence for peer comparison data</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High</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Wireframe Updates</w:t>
            </w:r>
          </w:p>
        </w:tc>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Add Moenio Lens panels to wireframes; reflect content architecture in screen designs</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Medium</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IA Map Updates</w:t>
            </w:r>
          </w:p>
        </w:tc>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Add intelligence layers and treatment allocation to IA Map</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Medium</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Designer Deliverable Refresh</w:t>
            </w:r>
          </w:p>
        </w:tc>
        <w:tc>
          <w:tcPr>
            <w:tcW w:type="dxa" w:w="50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Update Blueprint copy from v1.6.0 to v1.6.1; remove leftover .md files</w:t>
            </w:r>
          </w:p>
        </w:tc>
        <w:tc>
          <w:tcPr>
            <w:tcW w:type="dxa" w:w="19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Low</w:t>
            </w:r>
          </w:p>
        </w:tc>
      </w:tr>
    </w:tbl>
    <w:p>
      <w:pPr>
        <w:spacing w:after="120" w:before="120"/>
      </w:pPr>
    </w:p>
    <w:p>
      <w:pPr>
        <w:pStyle w:val="Heading1"/>
        <w:spacing w:after="200" w:before="360"/>
      </w:pPr>
      <w:r>
        <w:rPr>
          <w:rFonts w:ascii="Arial" w:cs="Arial" w:eastAsia="Arial" w:hAnsi="Arial"/>
          <w:b/>
          <w:bCs/>
          <w:color w:val="1B2A4A"/>
          <w:sz w:val="32"/>
          <w:szCs w:val="32"/>
        </w:rPr>
        <w:t xml:space="preserve">10.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Version</w:t>
            </w:r>
          </w:p>
        </w:tc>
        <w:tc>
          <w:tcPr>
            <w:tcW w:type="dxa" w:w="180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Date</w:t>
            </w:r>
          </w:p>
        </w:tc>
        <w:tc>
          <w:tcPr>
            <w:tcW w:type="dxa" w:w="6360"/>
            <w:tcBorders>
              <w:top w:val="single" w:color="E5E7EB" w:sz="1"/>
              <w:left w:val="single" w:color="E5E7EB" w:sz="1"/>
              <w:bottom w:val="single" w:color="E5E7EB" w:sz="1"/>
              <w:right w:val="single" w:color="E5E7EB" w:sz="1"/>
            </w:tcBorders>
            <w:shd w:fill="1B2A4A"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Changes</w:t>
            </w:r>
          </w:p>
        </w:tc>
      </w:tr>
      <w:tr>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1.0</w:t>
            </w:r>
          </w:p>
        </w:tc>
        <w:tc>
          <w:tcPr>
            <w:tcW w:type="dxa" w:w="180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March 2026</w:t>
            </w:r>
          </w:p>
        </w:tc>
        <w:tc>
          <w:tcPr>
            <w:tcW w:type="dxa" w:w="6360"/>
            <w:tcBorders>
              <w:top w:val="single" w:color="E5E7EB" w:sz="1"/>
              <w:left w:val="single" w:color="E5E7EB" w:sz="1"/>
              <w:bottom w:val="single" w:color="E5E7EB" w:sz="1"/>
              <w:right w:val="single" w:color="E5E7EB" w:sz="1"/>
            </w:tcBorders>
            <w:tcMar>
              <w:top w:type="dxa" w:w="60"/>
              <w:left w:type="dxa" w:w="100"/>
              <w:bottom w:type="dxa" w:w="60"/>
              <w:right w:type="dxa" w:w="100"/>
            </w:tcMar>
          </w:tcPr>
          <w:p>
            <w:pPr>
              <w:spacing w:after="0"/>
            </w:pPr>
            <w:r>
              <w:rPr>
                <w:rFonts w:ascii="Arial" w:cs="Arial" w:eastAsia="Arial" w:hAnsi="Arial"/>
                <w:color w:val="111827"/>
                <w:sz w:val="18"/>
                <w:szCs w:val="18"/>
              </w:rPr>
              <w:t xml:space="preserve">Initial specification. All content allocation decisions locked across 6 platform levels.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rFonts w:ascii="Arial" w:cs="Arial" w:eastAsia="Arial" w:hAnsi="Arial"/>
        <w:color w:val="6B7280"/>
        <w:sz w:val="16"/>
        <w:szCs w:val="16"/>
      </w:rPr>
      <w:t xml:space="preserve">Moenio / Point93</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color w:val="6B7280"/>
        <w:sz w:val="16"/>
        <w:szCs w:val="16"/>
      </w:rPr>
      <w:t xml:space="preserve">Point93 Content Architecture Specification v1.0</w:t>
    </w:r>
    <w:r>
      <w:rPr>
        <w:rFonts w:ascii="Arial" w:cs="Arial" w:eastAsia="Arial" w:hAnsi="Arial"/>
        <w:b/>
        <w:bCs/>
        <w:color w:val="E11D4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2026-03-11T22:04:08.994Z</dcterms:created>
  <dcterms:modified xsi:type="dcterms:W3CDTF">2026-03-11T22:04:08.994Z</dcterms:modified>
</cp:coreProperties>
</file>

<file path=docProps/custom.xml><?xml version="1.0" encoding="utf-8"?>
<Properties xmlns="http://schemas.openxmlformats.org/officeDocument/2006/custom-properties" xmlns:vt="http://schemas.openxmlformats.org/officeDocument/2006/docPropsVTypes"/>
</file>