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5E7B"/>
          <w:spacing w:val="200"/>
          <w:sz w:val="20"/>
          <w:szCs w:val="20"/>
        </w:rPr>
        <w:t xml:space="preserve">POINT93</w:t>
      </w:r>
    </w:p>
    <w:p>
      <w:pPr>
        <w:spacing w:after="80"/>
        <w:jc w:val="center"/>
      </w:pPr>
      <w:r>
        <w:rPr>
          <w:rFonts w:ascii="Georgia" w:cs="Georgia" w:eastAsia="Georgia" w:hAnsi="Georgia"/>
          <w:color w:val="0E3A4D"/>
          <w:sz w:val="48"/>
          <w:szCs w:val="48"/>
        </w:rPr>
        <w:t xml:space="preserve">AI Content Guardrails</w:t>
      </w:r>
    </w:p>
    <w:p>
      <w:pPr>
        <w:pBdr>
          <w:bottom w:val="single" w:color="1B5E7B" w:sz="6" w:space="1"/>
        </w:pBdr>
        <w:spacing w:after="400"/>
        <w:jc w:val="center"/>
      </w:pPr>
      <w:r>
        <w:rPr>
          <w:rFonts w:ascii="Arial" w:cs="Arial" w:eastAsia="Arial" w:hAnsi="Arial"/>
          <w:color w:val="6E7A8F"/>
          <w:sz w:val="24"/>
          <w:szCs w:val="24"/>
        </w:rPr>
        <w:t xml:space="preserve">Constraints, Validation, and Anti-Patterns for Intelligence Treatment Authoring</w:t>
      </w:r>
    </w:p>
    <w:p>
      <w:pPr>
        <w:spacing w:after="400"/>
      </w:pPr>
    </w:p>
    <w:p>
      <w:pPr>
        <w:spacing w:after="80"/>
        <w:jc w:val="center"/>
      </w:pPr>
      <w:r>
        <w:rPr>
          <w:rFonts w:ascii="Arial" w:cs="Arial" w:eastAsia="Arial" w:hAnsi="Arial"/>
          <w:color w:val="6E7A8F"/>
          <w:sz w:val="20"/>
          <w:szCs w:val="20"/>
        </w:rPr>
        <w:t xml:space="preserve">Version 1.0  •  February 2026</w:t>
      </w:r>
    </w:p>
    <w:p>
      <w:pPr>
        <w:jc w:val="center"/>
      </w:pPr>
      <w:r>
        <w:rPr>
          <w:rFonts w:ascii="Arial" w:cs="Arial" w:eastAsia="Arial" w:hAnsi="Arial"/>
          <w:color w:val="6E7A8F"/>
          <w:sz w:val="20"/>
          <w:szCs w:val="20"/>
        </w:rPr>
        <w:t xml:space="preserve">Companion to: Intelligence Treatment Framework  •  Intelligence Repository</w:t>
      </w:r>
    </w:p>
    <w:p>
      <w:r>
        <w:br w:type="page"/>
      </w:r>
    </w:p>
    <w:p>
      <w:pPr>
        <w:pStyle w:val="Heading1"/>
      </w:pPr>
      <w:r>
        <w:t xml:space="preserve">Purpose &amp; Governing Principle</w:t>
      </w:r>
    </w:p>
    <w:p>
      <w:pPr>
        <w:spacing w:after="160"/>
      </w:pPr>
      <w:r>
        <w:rPr>
          <w:rFonts w:ascii="Arial" w:cs="Arial" w:eastAsia="Arial" w:hAnsi="Arial"/>
          <w:color w:val="3D4659"/>
          <w:sz w:val="22"/>
          <w:szCs w:val="22"/>
        </w:rPr>
        <w:t xml:space="preserve">This document defines the constraints that keep AI-generated intelligence content within Point93’s quality and tone boundaries. Every treatment type has specific rules about what it must include, what it must never include, and how to validate that output meets the standard.</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0D7E0" w:sz="1"/>
              <w:left w:val="single" w:color="1B5E7B" w:sz="8"/>
              <w:bottom w:val="single" w:color="D0D7E0" w:sz="1"/>
              <w:right w:val="single" w:color="D0D7E0" w:sz="1"/>
            </w:tcBorders>
            <w:shd w:fill="EBF4F8" w:val="clear"/>
            <w:tcMar>
              <w:top w:type="dxa" w:w="120"/>
              <w:left w:type="dxa" w:w="200"/>
              <w:bottom w:type="dxa" w:w="120"/>
              <w:right w:type="dxa" w:w="200"/>
            </w:tcMar>
          </w:tcPr>
          <w:p>
            <w:pPr>
              <w:spacing w:after="60"/>
            </w:pPr>
            <w:r>
              <w:rPr>
                <w:rFonts w:ascii="Arial" w:cs="Arial" w:eastAsia="Arial" w:hAnsi="Arial"/>
                <w:b/>
                <w:bCs/>
                <w:color w:val="1B5E7B"/>
                <w:spacing w:val="60"/>
                <w:sz w:val="16"/>
                <w:szCs w:val="16"/>
              </w:rPr>
              <w:t xml:space="preserve">THE GOVERNING PRINCIPLE</w:t>
            </w:r>
          </w:p>
          <w:p>
            <w:pPr>
              <w:spacing w:after="0"/>
            </w:pPr>
            <w:r>
              <w:rPr>
                <w:rFonts w:ascii="Georgia" w:cs="Georgia" w:eastAsia="Georgia" w:hAnsi="Georgia"/>
                <w:i/>
                <w:iCs/>
                <w:color w:val="0E3A4D"/>
                <w:sz w:val="23"/>
                <w:szCs w:val="23"/>
              </w:rPr>
              <w:t xml:space="preserve">Every piece of AI-generated content must pass the “Real Advisor Test”: If a financial advisor read this output, would they believe it came from someone who actually observed their client interactions — or would they recognize it as generated filler?</w:t>
            </w:r>
          </w:p>
        </w:tc>
      </w:tr>
    </w:tbl>
    <w:p>
      <w:pPr>
        <w:spacing w:after="100"/>
      </w:pPr>
    </w:p>
    <w:p>
      <w:pPr>
        <w:spacing w:after="160"/>
      </w:pPr>
      <w:r>
        <w:rPr>
          <w:rFonts w:ascii="Arial" w:cs="Arial" w:eastAsia="Arial" w:hAnsi="Arial"/>
          <w:color w:val="3D4659"/>
          <w:sz w:val="22"/>
          <w:szCs w:val="22"/>
        </w:rPr>
        <w:t xml:space="preserve">The guardrails operate at three levels:</w:t>
      </w:r>
    </w:p>
    <w:p>
      <w:pPr>
        <w:pStyle w:val="ListParagraph"/>
        <w:numPr>
          <w:ilvl w:val="0"/>
          <w:numId w:val="2"/>
        </w:numPr>
        <w:spacing w:after="80"/>
      </w:pPr>
      <w:r>
        <w:rPr>
          <w:rFonts w:ascii="Arial" w:cs="Arial" w:eastAsia="Arial" w:hAnsi="Arial"/>
          <w:b/>
          <w:bCs/>
          <w:color w:val="0E3A4D"/>
          <w:sz w:val="22"/>
          <w:szCs w:val="22"/>
        </w:rPr>
        <w:t xml:space="preserve">Structural constraints </w:t>
      </w:r>
      <w:r>
        <w:rPr>
          <w:rFonts w:ascii="Arial" w:cs="Arial" w:eastAsia="Arial" w:hAnsi="Arial"/>
          <w:color w:val="3D4659"/>
          <w:sz w:val="22"/>
          <w:szCs w:val="22"/>
        </w:rPr>
        <w:t xml:space="preserve">— What components must be present in the output (numbers, attributions, specific behaviors)</w:t>
      </w:r>
    </w:p>
    <w:p>
      <w:pPr>
        <w:pStyle w:val="ListParagraph"/>
        <w:numPr>
          <w:ilvl w:val="0"/>
          <w:numId w:val="2"/>
        </w:numPr>
        <w:spacing w:after="80"/>
      </w:pPr>
      <w:r>
        <w:rPr>
          <w:rFonts w:ascii="Arial" w:cs="Arial" w:eastAsia="Arial" w:hAnsi="Arial"/>
          <w:b/>
          <w:bCs/>
          <w:color w:val="0E3A4D"/>
          <w:sz w:val="22"/>
          <w:szCs w:val="22"/>
        </w:rPr>
        <w:t xml:space="preserve">Tonal constraints </w:t>
      </w:r>
      <w:r>
        <w:rPr>
          <w:rFonts w:ascii="Arial" w:cs="Arial" w:eastAsia="Arial" w:hAnsi="Arial"/>
          <w:color w:val="3D4659"/>
          <w:sz w:val="22"/>
          <w:szCs w:val="22"/>
        </w:rPr>
        <w:t xml:space="preserve">— How the output should sound (conversational vs. clinical, warm vs. urgent)</w:t>
      </w:r>
    </w:p>
    <w:p>
      <w:pPr>
        <w:pStyle w:val="ListParagraph"/>
        <w:numPr>
          <w:ilvl w:val="0"/>
          <w:numId w:val="2"/>
        </w:numPr>
        <w:spacing w:after="80"/>
      </w:pPr>
      <w:r>
        <w:rPr>
          <w:rFonts w:ascii="Arial" w:cs="Arial" w:eastAsia="Arial" w:hAnsi="Arial"/>
          <w:b/>
          <w:bCs/>
          <w:color w:val="0E3A4D"/>
          <w:sz w:val="22"/>
          <w:szCs w:val="22"/>
        </w:rPr>
        <w:t xml:space="preserve">Anti-pattern rules </w:t>
      </w:r>
      <w:r>
        <w:rPr>
          <w:rFonts w:ascii="Arial" w:cs="Arial" w:eastAsia="Arial" w:hAnsi="Arial"/>
          <w:color w:val="3D4659"/>
          <w:sz w:val="22"/>
          <w:szCs w:val="22"/>
        </w:rPr>
        <w:t xml:space="preserve">— Specific failure modes the AI must avoid (marketing language, vague observations, generic advice)</w:t>
      </w:r>
    </w:p>
    <w:p>
      <w:r>
        <w:br w:type="page"/>
      </w:r>
    </w:p>
    <w:p>
      <w:pPr>
        <w:pStyle w:val="Heading1"/>
      </w:pPr>
      <w:r>
        <w:t xml:space="preserve">Global Rules (Apply to All Treatment Types)</w:t>
      </w:r>
    </w:p>
    <w:p>
      <w:pPr>
        <w:pStyle w:val="Heading2"/>
      </w:pPr>
      <w:r>
        <w:t xml:space="preserve">The Zero Internal Language Rule</w:t>
      </w:r>
    </w:p>
    <w:p>
      <w:pPr>
        <w:spacing w:after="160"/>
      </w:pPr>
      <w:r>
        <w:rPr>
          <w:rFonts w:ascii="Arial" w:cs="Arial" w:eastAsia="Arial" w:hAnsi="Arial"/>
          <w:color w:val="3D4659"/>
          <w:sz w:val="22"/>
          <w:szCs w:val="22"/>
        </w:rPr>
        <w:t xml:space="preserve">No AI-generated content may use Point93 internal terminology. Advisors must never encounter engineering terms, internal module names, data model references, or platform jargon. All language must match the advisor’s professional mental model.</w:t>
      </w:r>
    </w:p>
    <w:p>
      <w:pPr>
        <w:spacing w:after="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D0D7E0" w:sz="1"/>
              <w:left w:val="single" w:color="D0D7E0" w:sz="1"/>
              <w:bottom w:val="single" w:color="D0D7E0" w:sz="1"/>
              <w:right w:val="single" w:color="D0D7E0" w:sz="1"/>
            </w:tcBorders>
            <w:shd w:fill="FDF0EF" w:val="clear"/>
            <w:tcMar>
              <w:top w:type="dxa" w:w="100"/>
              <w:left w:type="dxa" w:w="140"/>
              <w:bottom w:type="dxa" w:w="100"/>
              <w:right w:type="dxa" w:w="140"/>
            </w:tcMar>
          </w:tcPr>
          <w:p>
            <w:r>
              <w:rPr>
                <w:rFonts w:ascii="Arial" w:cs="Arial" w:eastAsia="Arial" w:hAnsi="Arial"/>
                <w:b/>
                <w:bCs/>
                <w:color w:val="C23B2E"/>
                <w:sz w:val="20"/>
                <w:szCs w:val="20"/>
              </w:rPr>
              <w:t xml:space="preserve">✗  Never say:</w:t>
            </w:r>
          </w:p>
        </w:tc>
        <w:tc>
          <w:tcPr>
            <w:tcW w:type="dxa" w:w="4860"/>
            <w:tcBorders>
              <w:top w:val="single" w:color="D0D7E0" w:sz="1"/>
              <w:left w:val="single" w:color="D0D7E0" w:sz="1"/>
              <w:bottom w:val="single" w:color="D0D7E0" w:sz="1"/>
              <w:right w:val="single" w:color="D0D7E0" w:sz="1"/>
            </w:tcBorders>
            <w:shd w:fill="EDFAF2" w:val="clear"/>
            <w:tcMar>
              <w:top w:type="dxa" w:w="100"/>
              <w:left w:type="dxa" w:w="140"/>
              <w:bottom w:type="dxa" w:w="100"/>
              <w:right w:type="dxa" w:w="140"/>
            </w:tcMar>
          </w:tcPr>
          <w:p>
            <w:r>
              <w:rPr>
                <w:rFonts w:ascii="Arial" w:cs="Arial" w:eastAsia="Arial" w:hAnsi="Arial"/>
                <w:b/>
                <w:bCs/>
                <w:color w:val="1A7A45"/>
                <w:sz w:val="20"/>
                <w:szCs w:val="20"/>
              </w:rPr>
              <w:t xml:space="preserve">✓  Instead say:</w:t>
            </w:r>
          </w:p>
        </w:tc>
      </w:tr>
      <w:tr>
        <w:tc>
          <w:tcPr>
            <w:tcW w:type="dxa" w:w="48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C23B2E"/>
                <w:sz w:val="20"/>
                <w:szCs w:val="20"/>
              </w:rPr>
              <w:t xml:space="preserve">Your Module 3 assessment shows...</w:t>
            </w:r>
          </w:p>
        </w:tc>
        <w:tc>
          <w:tcPr>
            <w:tcW w:type="dxa" w:w="48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1A7A45"/>
                <w:sz w:val="20"/>
                <w:szCs w:val="20"/>
              </w:rPr>
              <w:t xml:space="preserve">Your Fee Structure assessment shows...</w:t>
            </w:r>
          </w:p>
        </w:tc>
      </w:tr>
      <w:tr>
        <w:tc>
          <w:tcPr>
            <w:tcW w:type="dxa" w:w="48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C23B2E"/>
                <w:sz w:val="20"/>
                <w:szCs w:val="20"/>
              </w:rPr>
              <w:t xml:space="preserve">Your data point score indicates...</w:t>
            </w:r>
          </w:p>
        </w:tc>
        <w:tc>
          <w:tcPr>
            <w:tcW w:type="dxa" w:w="48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1A7A45"/>
                <w:sz w:val="20"/>
                <w:szCs w:val="20"/>
              </w:rPr>
              <w:t xml:space="preserve">Your fee comparison clarity score shows...</w:t>
            </w:r>
          </w:p>
        </w:tc>
      </w:tr>
      <w:tr>
        <w:tc>
          <w:tcPr>
            <w:tcW w:type="dxa" w:w="48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C23B2E"/>
                <w:sz w:val="20"/>
                <w:szCs w:val="20"/>
              </w:rPr>
              <w:t xml:space="preserve">Based on our evaluation methodology...</w:t>
            </w:r>
          </w:p>
        </w:tc>
        <w:tc>
          <w:tcPr>
            <w:tcW w:type="dxa" w:w="48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1A7A45"/>
                <w:sz w:val="20"/>
                <w:szCs w:val="20"/>
              </w:rPr>
              <w:t xml:space="preserve">Based on how clients described their experience...</w:t>
            </w:r>
          </w:p>
        </w:tc>
      </w:tr>
      <w:tr>
        <w:tc>
          <w:tcPr>
            <w:tcW w:type="dxa" w:w="48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C23B2E"/>
                <w:sz w:val="20"/>
                <w:szCs w:val="20"/>
              </w:rPr>
              <w:t xml:space="preserve">The assessment engine determined...</w:t>
            </w:r>
          </w:p>
        </w:tc>
        <w:tc>
          <w:tcPr>
            <w:tcW w:type="dxa" w:w="48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1A7A45"/>
                <w:sz w:val="20"/>
                <w:szCs w:val="20"/>
              </w:rPr>
              <w:t xml:space="preserve">We observed that...</w:t>
            </w:r>
          </w:p>
        </w:tc>
      </w:tr>
    </w:tbl>
    <w:p>
      <w:pPr>
        <w:spacing w:after="120"/>
      </w:pPr>
    </w:p>
    <w:p>
      <w:pPr>
        <w:pStyle w:val="Heading2"/>
      </w:pPr>
      <w:r>
        <w:t xml:space="preserve">Banned Phrases List</w:t>
      </w:r>
    </w:p>
    <w:p>
      <w:pPr>
        <w:spacing w:after="160"/>
      </w:pPr>
      <w:r>
        <w:rPr>
          <w:rFonts w:ascii="Arial" w:cs="Arial" w:eastAsia="Arial" w:hAnsi="Arial"/>
          <w:color w:val="3D4659"/>
          <w:sz w:val="22"/>
          <w:szCs w:val="22"/>
        </w:rPr>
        <w:t xml:space="preserve">The following phrases signal generic AI output and must never appear in any treatment:</w:t>
      </w:r>
    </w:p>
    <w:p>
      <w:pPr>
        <w:pStyle w:val="ListParagraph"/>
        <w:numPr>
          <w:ilvl w:val="0"/>
          <w:numId w:val="2"/>
        </w:numPr>
        <w:spacing w:after="80"/>
      </w:pPr>
      <w:r>
        <w:rPr>
          <w:rFonts w:ascii="Arial" w:cs="Arial" w:eastAsia="Arial" w:hAnsi="Arial"/>
          <w:b w:val="false"/>
          <w:bCs w:val="false"/>
          <w:color w:val="C23B2E"/>
          <w:sz w:val="20"/>
          <w:szCs w:val="20"/>
        </w:rPr>
        <w:t xml:space="preserve">“It’s important to note that...”</w:t>
      </w:r>
    </w:p>
    <w:p>
      <w:pPr>
        <w:pStyle w:val="ListParagraph"/>
        <w:numPr>
          <w:ilvl w:val="0"/>
          <w:numId w:val="2"/>
        </w:numPr>
        <w:spacing w:after="80"/>
      </w:pPr>
      <w:r>
        <w:rPr>
          <w:rFonts w:ascii="Arial" w:cs="Arial" w:eastAsia="Arial" w:hAnsi="Arial"/>
          <w:b w:val="false"/>
          <w:bCs w:val="false"/>
          <w:color w:val="C23B2E"/>
          <w:sz w:val="20"/>
          <w:szCs w:val="20"/>
        </w:rPr>
        <w:t xml:space="preserve">“This is an area where improvement could be beneficial...”</w:t>
      </w:r>
    </w:p>
    <w:p>
      <w:pPr>
        <w:pStyle w:val="ListParagraph"/>
        <w:numPr>
          <w:ilvl w:val="0"/>
          <w:numId w:val="2"/>
        </w:numPr>
        <w:spacing w:after="80"/>
      </w:pPr>
      <w:r>
        <w:rPr>
          <w:rFonts w:ascii="Arial" w:cs="Arial" w:eastAsia="Arial" w:hAnsi="Arial"/>
          <w:b w:val="false"/>
          <w:bCs w:val="false"/>
          <w:color w:val="C23B2E"/>
          <w:sz w:val="20"/>
          <w:szCs w:val="20"/>
        </w:rPr>
        <w:t xml:space="preserve">“Consider exploring opportunities to...”</w:t>
      </w:r>
    </w:p>
    <w:p>
      <w:pPr>
        <w:pStyle w:val="ListParagraph"/>
        <w:numPr>
          <w:ilvl w:val="0"/>
          <w:numId w:val="2"/>
        </w:numPr>
        <w:spacing w:after="80"/>
      </w:pPr>
      <w:r>
        <w:rPr>
          <w:rFonts w:ascii="Arial" w:cs="Arial" w:eastAsia="Arial" w:hAnsi="Arial"/>
          <w:b w:val="false"/>
          <w:bCs w:val="false"/>
          <w:color w:val="C23B2E"/>
          <w:sz w:val="20"/>
          <w:szCs w:val="20"/>
        </w:rPr>
        <w:t xml:space="preserve">“There may be room for growth in...”</w:t>
      </w:r>
    </w:p>
    <w:p>
      <w:pPr>
        <w:pStyle w:val="ListParagraph"/>
        <w:numPr>
          <w:ilvl w:val="0"/>
          <w:numId w:val="2"/>
        </w:numPr>
        <w:spacing w:after="80"/>
      </w:pPr>
      <w:r>
        <w:rPr>
          <w:rFonts w:ascii="Arial" w:cs="Arial" w:eastAsia="Arial" w:hAnsi="Arial"/>
          <w:b w:val="false"/>
          <w:bCs w:val="false"/>
          <w:color w:val="C23B2E"/>
          <w:sz w:val="20"/>
          <w:szCs w:val="20"/>
        </w:rPr>
        <w:t xml:space="preserve">“This represents a significant opportunity...”</w:t>
      </w:r>
    </w:p>
    <w:p>
      <w:pPr>
        <w:pStyle w:val="ListParagraph"/>
        <w:numPr>
          <w:ilvl w:val="0"/>
          <w:numId w:val="2"/>
        </w:numPr>
        <w:spacing w:after="80"/>
      </w:pPr>
      <w:r>
        <w:rPr>
          <w:rFonts w:ascii="Arial" w:cs="Arial" w:eastAsia="Arial" w:hAnsi="Arial"/>
          <w:b w:val="false"/>
          <w:bCs w:val="false"/>
          <w:color w:val="C23B2E"/>
          <w:sz w:val="20"/>
          <w:szCs w:val="20"/>
        </w:rPr>
        <w:t xml:space="preserve">“Best practices suggest...”</w:t>
      </w:r>
    </w:p>
    <w:p>
      <w:pPr>
        <w:pStyle w:val="ListParagraph"/>
        <w:numPr>
          <w:ilvl w:val="0"/>
          <w:numId w:val="2"/>
        </w:numPr>
        <w:spacing w:after="80"/>
      </w:pPr>
      <w:r>
        <w:rPr>
          <w:rFonts w:ascii="Arial" w:cs="Arial" w:eastAsia="Arial" w:hAnsi="Arial"/>
          <w:b w:val="false"/>
          <w:bCs w:val="false"/>
          <w:color w:val="C23B2E"/>
          <w:sz w:val="20"/>
          <w:szCs w:val="20"/>
        </w:rPr>
        <w:t xml:space="preserve">“Industry standards indicate...”</w:t>
      </w:r>
    </w:p>
    <w:p>
      <w:pPr>
        <w:pStyle w:val="ListParagraph"/>
        <w:numPr>
          <w:ilvl w:val="0"/>
          <w:numId w:val="2"/>
        </w:numPr>
        <w:spacing w:after="80"/>
      </w:pPr>
      <w:r>
        <w:rPr>
          <w:rFonts w:ascii="Arial" w:cs="Arial" w:eastAsia="Arial" w:hAnsi="Arial"/>
          <w:b w:val="false"/>
          <w:bCs w:val="false"/>
          <w:color w:val="C23B2E"/>
          <w:sz w:val="20"/>
          <w:szCs w:val="20"/>
        </w:rPr>
        <w:t xml:space="preserve">“Studies show that...”</w:t>
      </w:r>
    </w:p>
    <w:p>
      <w:pPr>
        <w:pStyle w:val="ListParagraph"/>
        <w:numPr>
          <w:ilvl w:val="0"/>
          <w:numId w:val="2"/>
        </w:numPr>
        <w:spacing w:after="80"/>
      </w:pPr>
      <w:r>
        <w:rPr>
          <w:rFonts w:ascii="Arial" w:cs="Arial" w:eastAsia="Arial" w:hAnsi="Arial"/>
          <w:b w:val="false"/>
          <w:bCs w:val="false"/>
          <w:color w:val="C23B2E"/>
          <w:sz w:val="20"/>
          <w:szCs w:val="20"/>
        </w:rPr>
        <w:t xml:space="preserve">“In today’s competitive landscape...”</w:t>
      </w:r>
    </w:p>
    <w:p>
      <w:pPr>
        <w:pStyle w:val="ListParagraph"/>
        <w:numPr>
          <w:ilvl w:val="0"/>
          <w:numId w:val="2"/>
        </w:numPr>
        <w:spacing w:after="80"/>
      </w:pPr>
      <w:r>
        <w:rPr>
          <w:rFonts w:ascii="Arial" w:cs="Arial" w:eastAsia="Arial" w:hAnsi="Arial"/>
          <w:b w:val="false"/>
          <w:bCs w:val="false"/>
          <w:color w:val="C23B2E"/>
          <w:sz w:val="20"/>
          <w:szCs w:val="20"/>
        </w:rPr>
        <w:t xml:space="preserve">“Leveraging your strengths...”</w:t>
      </w:r>
    </w:p>
    <w:p>
      <w:pPr>
        <w:pStyle w:val="ListParagraph"/>
        <w:numPr>
          <w:ilvl w:val="0"/>
          <w:numId w:val="2"/>
        </w:numPr>
        <w:spacing w:after="80"/>
      </w:pPr>
      <w:r>
        <w:rPr>
          <w:rFonts w:ascii="Arial" w:cs="Arial" w:eastAsia="Arial" w:hAnsi="Arial"/>
          <w:b w:val="false"/>
          <w:bCs w:val="false"/>
          <w:color w:val="C23B2E"/>
          <w:sz w:val="20"/>
          <w:szCs w:val="20"/>
        </w:rPr>
        <w:t xml:space="preserve">“Optimize your approach to...”</w:t>
      </w:r>
    </w:p>
    <w:p>
      <w:pPr>
        <w:pStyle w:val="ListParagraph"/>
        <w:numPr>
          <w:ilvl w:val="0"/>
          <w:numId w:val="2"/>
        </w:numPr>
        <w:spacing w:after="80"/>
      </w:pPr>
      <w:r>
        <w:rPr>
          <w:rFonts w:ascii="Arial" w:cs="Arial" w:eastAsia="Arial" w:hAnsi="Arial"/>
          <w:b w:val="false"/>
          <w:bCs w:val="false"/>
          <w:color w:val="C23B2E"/>
          <w:sz w:val="20"/>
          <w:szCs w:val="20"/>
        </w:rPr>
        <w:t xml:space="preserve">“Enhance your client experience...”</w:t>
      </w:r>
    </w:p>
    <w:p>
      <w:pPr>
        <w:pStyle w:val="ListParagraph"/>
        <w:numPr>
          <w:ilvl w:val="0"/>
          <w:numId w:val="2"/>
        </w:numPr>
        <w:spacing w:after="80"/>
      </w:pPr>
      <w:r>
        <w:rPr>
          <w:rFonts w:ascii="Arial" w:cs="Arial" w:eastAsia="Arial" w:hAnsi="Arial"/>
          <w:b w:val="false"/>
          <w:bCs w:val="false"/>
          <w:color w:val="C23B2E"/>
          <w:sz w:val="20"/>
          <w:szCs w:val="20"/>
        </w:rPr>
        <w:t xml:space="preserve">“Take your practice to the next level...”</w:t>
      </w:r>
    </w:p>
    <w:p>
      <w:pPr>
        <w:pStyle w:val="ListParagraph"/>
        <w:numPr>
          <w:ilvl w:val="0"/>
          <w:numId w:val="2"/>
        </w:numPr>
        <w:spacing w:after="80"/>
      </w:pPr>
      <w:r>
        <w:rPr>
          <w:rFonts w:ascii="Arial" w:cs="Arial" w:eastAsia="Arial" w:hAnsi="Arial"/>
          <w:b w:val="false"/>
          <w:bCs w:val="false"/>
          <w:color w:val="C23B2E"/>
          <w:sz w:val="20"/>
          <w:szCs w:val="20"/>
        </w:rPr>
        <w:t xml:space="preserve">“Unlock the full potential of...”</w:t>
      </w:r>
    </w:p>
    <w:p>
      <w:pPr>
        <w:pStyle w:val="ListParagraph"/>
        <w:numPr>
          <w:ilvl w:val="0"/>
          <w:numId w:val="2"/>
        </w:numPr>
        <w:spacing w:after="80"/>
      </w:pPr>
      <w:r>
        <w:rPr>
          <w:rFonts w:ascii="Arial" w:cs="Arial" w:eastAsia="Arial" w:hAnsi="Arial"/>
          <w:b w:val="false"/>
          <w:bCs w:val="false"/>
          <w:color w:val="C23B2E"/>
          <w:sz w:val="20"/>
          <w:szCs w:val="20"/>
        </w:rPr>
        <w:t xml:space="preserve">“Drive meaningful results...”</w:t>
      </w:r>
    </w:p>
    <w:p>
      <w:pPr>
        <w:pStyle w:val="ListParagraph"/>
        <w:numPr>
          <w:ilvl w:val="0"/>
          <w:numId w:val="2"/>
        </w:numPr>
        <w:spacing w:after="80"/>
      </w:pPr>
      <w:r>
        <w:rPr>
          <w:rFonts w:ascii="Arial" w:cs="Arial" w:eastAsia="Arial" w:hAnsi="Arial"/>
          <w:b w:val="false"/>
          <w:bCs w:val="false"/>
          <w:color w:val="C23B2E"/>
          <w:sz w:val="20"/>
          <w:szCs w:val="20"/>
        </w:rPr>
        <w:t xml:space="preserve">“Streamline your process...”</w:t>
      </w:r>
    </w:p>
    <w:p>
      <w:pPr>
        <w:spacing w:after="80"/>
      </w:pPr>
    </w:p>
    <w:p>
      <w:pPr>
        <w:spacing w:after="160"/>
      </w:pPr>
      <w:r>
        <w:rPr>
          <w:rFonts w:ascii="Arial" w:cs="Arial" w:eastAsia="Arial" w:hAnsi="Arial"/>
          <w:b/>
          <w:bCs/>
          <w:color w:val="0E3A4D"/>
          <w:sz w:val="22"/>
          <w:szCs w:val="22"/>
        </w:rPr>
        <w:t xml:space="preserve">Replacement principle: </w:t>
      </w:r>
      <w:r>
        <w:rPr>
          <w:rFonts w:ascii="Arial" w:cs="Arial" w:eastAsia="Arial" w:hAnsi="Arial"/>
          <w:color w:val="3D4659"/>
          <w:sz w:val="22"/>
          <w:szCs w:val="22"/>
        </w:rPr>
        <w:t xml:space="preserve">Every banned phrase is banned because it’s abstract. The fix is always the same — replace abstraction with a specific observation, number, or behavior. “There may be room for growth” becomes “In 3 of 5 meetings, clients couldn’t name what they pay.”</w:t>
      </w:r>
    </w:p>
    <w:p>
      <w:r>
        <w:br w:type="page"/>
      </w:r>
    </w:p>
    <w:p>
      <w:pPr>
        <w:pStyle w:val="Heading1"/>
      </w:pPr>
      <w:r>
        <w:t xml:space="preserve">Per-Treatment Guardrails</w:t>
      </w:r>
    </w:p>
    <w:p>
      <w:pPr>
        <w:pStyle w:val="Heading2"/>
      </w:pPr>
      <w:r>
        <w:t xml:space="preserve">1. Observational Evidence</w:t>
      </w:r>
    </w:p>
    <w:p>
      <w:pPr>
        <w:spacing w:after="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0D7E0" w:sz="1"/>
              <w:left w:val="single" w:color="0E3A4D" w:sz="8"/>
              <w:bottom w:val="single" w:color="D0D7E0" w:sz="1"/>
              <w:right w:val="single" w:color="D0D7E0" w:sz="1"/>
            </w:tcBorders>
            <w:shd w:fill="F5F7FA" w:val="clear"/>
            <w:tcMar>
              <w:top w:type="dxa" w:w="120"/>
              <w:left w:type="dxa" w:w="200"/>
              <w:bottom w:type="dxa" w:w="120"/>
              <w:right w:type="dxa" w:w="200"/>
            </w:tcMar>
          </w:tcPr>
          <w:p>
            <w:pPr>
              <w:spacing w:after="40"/>
            </w:pPr>
            <w:r>
              <w:rPr>
                <w:rFonts w:ascii="Arial" w:cs="Arial" w:eastAsia="Arial" w:hAnsi="Arial"/>
                <w:b/>
                <w:bCs/>
                <w:color w:val="0E3A4D"/>
                <w:spacing w:val="60"/>
                <w:sz w:val="16"/>
                <w:szCs w:val="16"/>
              </w:rPr>
              <w:t xml:space="preserve">VOICE</w:t>
            </w:r>
          </w:p>
          <w:p>
            <w:pPr>
              <w:spacing w:after="0"/>
            </w:pPr>
            <w:r>
              <w:rPr>
                <w:rFonts w:ascii="Arial" w:cs="Arial" w:eastAsia="Arial" w:hAnsi="Arial"/>
                <w:color w:val="3D4659"/>
                <w:sz w:val="21"/>
                <w:szCs w:val="21"/>
              </w:rPr>
              <w:t xml:space="preserve">Third-person evaluator. Clinical but not cold. Reporting findings, not selling. The tone of a professional who watched real interactions and is describing what they saw.</w:t>
            </w:r>
          </w:p>
        </w:tc>
      </w:tr>
    </w:tbl>
    <w:p>
      <w:pPr>
        <w:spacing w:after="80"/>
      </w:pPr>
    </w:p>
    <w:p>
      <w:pPr>
        <w:pStyle w:val="Heading3"/>
      </w:pPr>
      <w:r>
        <w:t xml:space="preserve">Structural Requirements</w:t>
      </w:r>
    </w:p>
    <w:p>
      <w:pPr>
        <w:pStyle w:val="ListParagraph"/>
        <w:numPr>
          <w:ilvl w:val="0"/>
          <w:numId w:val="2"/>
        </w:numPr>
        <w:spacing w:after="80"/>
      </w:pPr>
      <w:r>
        <w:rPr>
          <w:rFonts w:ascii="Arial" w:cs="Arial" w:eastAsia="Arial" w:hAnsi="Arial"/>
          <w:b/>
          <w:bCs/>
          <w:color w:val="0E3A4D"/>
          <w:sz w:val="22"/>
          <w:szCs w:val="22"/>
        </w:rPr>
        <w:t xml:space="preserve">Must contain at least one specific count or proportion </w:t>
      </w:r>
      <w:r>
        <w:rPr>
          <w:rFonts w:ascii="Arial" w:cs="Arial" w:eastAsia="Arial" w:hAnsi="Arial"/>
          <w:color w:val="3D4659"/>
          <w:sz w:val="22"/>
          <w:szCs w:val="22"/>
        </w:rPr>
        <w:t xml:space="preserve">(“3 of 5 clients,” “in every evaluated interaction,” “2 out of 4 meetings”). An observation without a number fails.</w:t>
      </w:r>
    </w:p>
    <w:p>
      <w:pPr>
        <w:pStyle w:val="ListParagraph"/>
        <w:numPr>
          <w:ilvl w:val="0"/>
          <w:numId w:val="2"/>
        </w:numPr>
        <w:spacing w:after="80"/>
      </w:pPr>
      <w:r>
        <w:rPr>
          <w:rFonts w:ascii="Arial" w:cs="Arial" w:eastAsia="Arial" w:hAnsi="Arial"/>
          <w:b/>
          <w:bCs/>
          <w:color w:val="0E3A4D"/>
          <w:sz w:val="22"/>
          <w:szCs w:val="22"/>
        </w:rPr>
        <w:t xml:space="preserve">Must describe a specific behavior, not a general state </w:t>
      </w:r>
      <w:r>
        <w:rPr>
          <w:rFonts w:ascii="Arial" w:cs="Arial" w:eastAsia="Arial" w:hAnsi="Arial"/>
          <w:color w:val="3D4659"/>
          <w:sz w:val="22"/>
          <w:szCs w:val="22"/>
        </w:rPr>
        <w:t xml:space="preserve">(“clients were asked and couldn’t answer” not “clients lacked awareness”).</w:t>
      </w:r>
    </w:p>
    <w:p>
      <w:pPr>
        <w:pStyle w:val="ListParagraph"/>
        <w:numPr>
          <w:ilvl w:val="0"/>
          <w:numId w:val="2"/>
        </w:numPr>
        <w:spacing w:after="80"/>
      </w:pPr>
      <w:r>
        <w:rPr>
          <w:rFonts w:ascii="Arial" w:cs="Arial" w:eastAsia="Arial" w:hAnsi="Arial"/>
          <w:b/>
          <w:bCs/>
          <w:color w:val="0E3A4D"/>
          <w:sz w:val="22"/>
          <w:szCs w:val="22"/>
        </w:rPr>
        <w:t xml:space="preserve">Must be 2–4 sentences. </w:t>
      </w:r>
      <w:r>
        <w:rPr>
          <w:rFonts w:ascii="Arial" w:cs="Arial" w:eastAsia="Arial" w:hAnsi="Arial"/>
          <w:color w:val="3D4659"/>
          <w:sz w:val="22"/>
          <w:szCs w:val="22"/>
        </w:rPr>
        <w:t xml:space="preserve">Shorter loses specificity. Longer loses the evaluator voice and starts sounding like an essay.</w:t>
      </w:r>
    </w:p>
    <w:p>
      <w:pPr>
        <w:pStyle w:val="ListParagraph"/>
        <w:numPr>
          <w:ilvl w:val="0"/>
          <w:numId w:val="2"/>
        </w:numPr>
        <w:spacing w:after="80"/>
      </w:pPr>
      <w:r>
        <w:rPr>
          <w:rFonts w:ascii="Arial" w:cs="Arial" w:eastAsia="Arial" w:hAnsi="Arial"/>
          <w:b/>
          <w:bCs/>
          <w:color w:val="0E3A4D"/>
          <w:sz w:val="22"/>
          <w:szCs w:val="22"/>
        </w:rPr>
        <w:t xml:space="preserve">Must avoid causal claims. </w:t>
      </w:r>
      <w:r>
        <w:rPr>
          <w:rFonts w:ascii="Arial" w:cs="Arial" w:eastAsia="Arial" w:hAnsi="Arial"/>
          <w:color w:val="3D4659"/>
          <w:sz w:val="22"/>
          <w:szCs w:val="22"/>
        </w:rPr>
        <w:t xml:space="preserve">Observations report what happened, not why. “Clients couldn’t name their fees” is an observation. “Clients couldn’t name their fees because the advisor never told them” is a diagnosis (belongs in a different treatment).</w:t>
      </w:r>
    </w:p>
    <w:p>
      <w:pPr>
        <w:spacing w:after="60"/>
      </w:pPr>
    </w:p>
    <w:p>
      <w:pPr>
        <w:pStyle w:val="Heading3"/>
      </w:pPr>
      <w:r>
        <w:t xml:space="preserve">Validation Table</w:t>
      </w:r>
    </w:p>
    <w:p>
      <w:pPr>
        <w:spacing w:after="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4060"/>
        <w:gridCol w:w="4060"/>
      </w:tblGrid>
      <w:tr>
        <w:tc>
          <w:tcPr>
            <w:tcW w:type="dxa" w:w="160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406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20"/>
                <w:szCs w:val="20"/>
              </w:rPr>
              <w:t xml:space="preserve">✓ Passes</w:t>
            </w:r>
          </w:p>
        </w:tc>
        <w:tc>
          <w:tcPr>
            <w:tcW w:type="dxa" w:w="406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20"/>
                <w:szCs w:val="20"/>
              </w:rPr>
              <w:t xml:space="preserve">✗ Fails</w:t>
            </w:r>
          </w:p>
        </w:tc>
      </w:tr>
      <w:tr>
        <w:tc>
          <w:tcPr>
            <w:tcW w:type="dxa" w:w="16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0E3A4D"/>
                <w:sz w:val="20"/>
                <w:szCs w:val="20"/>
              </w:rPr>
              <w:t xml:space="preserve">Specificity</w:t>
            </w:r>
          </w:p>
        </w:tc>
        <w:tc>
          <w:tcPr>
            <w:tcW w:type="dxa" w:w="4060"/>
            <w:tcBorders>
              <w:top w:val="single" w:color="D0D7E0" w:sz="1"/>
              <w:left w:val="single" w:color="D0D7E0" w:sz="1"/>
              <w:bottom w:val="single" w:color="D0D7E0" w:sz="1"/>
              <w:right w:val="single" w:color="D0D7E0" w:sz="1"/>
            </w:tcBorders>
            <w:shd w:fill="EDFAF2" w:val="clear"/>
            <w:tcMar>
              <w:top w:type="dxa" w:w="100"/>
              <w:left w:type="dxa" w:w="140"/>
              <w:bottom w:type="dxa" w:w="100"/>
              <w:right w:type="dxa" w:w="140"/>
            </w:tcMar>
          </w:tcPr>
          <w:p>
            <w:r>
              <w:rPr>
                <w:rFonts w:ascii="Arial" w:cs="Arial" w:eastAsia="Arial" w:hAnsi="Arial"/>
                <w:color w:val="1A7A45"/>
                <w:sz w:val="19"/>
                <w:szCs w:val="19"/>
              </w:rPr>
              <w:t xml:space="preserve">In 3 of 5 interactions, clients were asked what they pay and either couldn’t answer or significantly underestimated.</w:t>
            </w:r>
          </w:p>
        </w:tc>
        <w:tc>
          <w:tcPr>
            <w:tcW w:type="dxa" w:w="4060"/>
            <w:tcBorders>
              <w:top w:val="single" w:color="D0D7E0" w:sz="1"/>
              <w:left w:val="single" w:color="D0D7E0" w:sz="1"/>
              <w:bottom w:val="single" w:color="D0D7E0" w:sz="1"/>
              <w:right w:val="single" w:color="D0D7E0" w:sz="1"/>
            </w:tcBorders>
            <w:shd w:fill="FDF0EF" w:val="clear"/>
            <w:tcMar>
              <w:top w:type="dxa" w:w="100"/>
              <w:left w:type="dxa" w:w="140"/>
              <w:bottom w:type="dxa" w:w="100"/>
              <w:right w:type="dxa" w:w="140"/>
            </w:tcMar>
          </w:tcPr>
          <w:p>
            <w:r>
              <w:rPr>
                <w:rFonts w:ascii="Arial" w:cs="Arial" w:eastAsia="Arial" w:hAnsi="Arial"/>
                <w:color w:val="C23B2E"/>
                <w:sz w:val="19"/>
                <w:szCs w:val="19"/>
              </w:rPr>
              <w:t xml:space="preserve">Clients generally lacked awareness of their fee structure and couldn’t articulate what they pay.</w:t>
            </w:r>
          </w:p>
        </w:tc>
      </w:tr>
      <w:tr>
        <w:tc>
          <w:tcPr>
            <w:tcW w:type="dxa" w:w="16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0E3A4D"/>
                <w:sz w:val="20"/>
                <w:szCs w:val="20"/>
              </w:rPr>
              <w:t xml:space="preserve">Behavior</w:t>
            </w:r>
          </w:p>
        </w:tc>
        <w:tc>
          <w:tcPr>
            <w:tcW w:type="dxa" w:w="4060"/>
            <w:tcBorders>
              <w:top w:val="single" w:color="D0D7E0" w:sz="1"/>
              <w:left w:val="single" w:color="D0D7E0" w:sz="1"/>
              <w:bottom w:val="single" w:color="D0D7E0" w:sz="1"/>
              <w:right w:val="single" w:color="D0D7E0" w:sz="1"/>
            </w:tcBorders>
            <w:shd w:fill="EDFAF2" w:val="clear"/>
            <w:tcMar>
              <w:top w:type="dxa" w:w="100"/>
              <w:left w:type="dxa" w:w="140"/>
              <w:bottom w:type="dxa" w:w="100"/>
              <w:right w:type="dxa" w:w="140"/>
            </w:tcMar>
          </w:tcPr>
          <w:p>
            <w:r>
              <w:rPr>
                <w:rFonts w:ascii="Arial" w:cs="Arial" w:eastAsia="Arial" w:hAnsi="Arial"/>
                <w:color w:val="1A7A45"/>
                <w:sz w:val="19"/>
                <w:szCs w:val="19"/>
              </w:rPr>
              <w:t xml:space="preserve">Two clients confused the advisory fee with their fund expense ratios.</w:t>
            </w:r>
          </w:p>
        </w:tc>
        <w:tc>
          <w:tcPr>
            <w:tcW w:type="dxa" w:w="4060"/>
            <w:tcBorders>
              <w:top w:val="single" w:color="D0D7E0" w:sz="1"/>
              <w:left w:val="single" w:color="D0D7E0" w:sz="1"/>
              <w:bottom w:val="single" w:color="D0D7E0" w:sz="1"/>
              <w:right w:val="single" w:color="D0D7E0" w:sz="1"/>
            </w:tcBorders>
            <w:shd w:fill="FDF0EF" w:val="clear"/>
            <w:tcMar>
              <w:top w:type="dxa" w:w="100"/>
              <w:left w:type="dxa" w:w="140"/>
              <w:bottom w:type="dxa" w:w="100"/>
              <w:right w:type="dxa" w:w="140"/>
            </w:tcMar>
          </w:tcPr>
          <w:p>
            <w:r>
              <w:rPr>
                <w:rFonts w:ascii="Arial" w:cs="Arial" w:eastAsia="Arial" w:hAnsi="Arial"/>
                <w:color w:val="C23B2E"/>
                <w:sz w:val="19"/>
                <w:szCs w:val="19"/>
              </w:rPr>
              <w:t xml:space="preserve">There were misunderstandings about fee components.</w:t>
            </w:r>
          </w:p>
        </w:tc>
      </w:tr>
      <w:tr>
        <w:tc>
          <w:tcPr>
            <w:tcW w:type="dxa" w:w="16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0E3A4D"/>
                <w:sz w:val="20"/>
                <w:szCs w:val="20"/>
              </w:rPr>
              <w:t xml:space="preserve">Count/Proportion</w:t>
            </w:r>
          </w:p>
        </w:tc>
        <w:tc>
          <w:tcPr>
            <w:tcW w:type="dxa" w:w="4060"/>
            <w:tcBorders>
              <w:top w:val="single" w:color="D0D7E0" w:sz="1"/>
              <w:left w:val="single" w:color="D0D7E0" w:sz="1"/>
              <w:bottom w:val="single" w:color="D0D7E0" w:sz="1"/>
              <w:right w:val="single" w:color="D0D7E0" w:sz="1"/>
            </w:tcBorders>
            <w:shd w:fill="EDFAF2" w:val="clear"/>
            <w:tcMar>
              <w:top w:type="dxa" w:w="100"/>
              <w:left w:type="dxa" w:w="140"/>
              <w:bottom w:type="dxa" w:w="100"/>
              <w:right w:type="dxa" w:w="140"/>
            </w:tcMar>
          </w:tcPr>
          <w:p>
            <w:r>
              <w:rPr>
                <w:rFonts w:ascii="Arial" w:cs="Arial" w:eastAsia="Arial" w:hAnsi="Arial"/>
                <w:color w:val="1A7A45"/>
                <w:sz w:val="19"/>
                <w:szCs w:val="19"/>
              </w:rPr>
              <w:t xml:space="preserve">None of the five evaluated clients could name a specific service beyond ‘managing my investments.’</w:t>
            </w:r>
          </w:p>
        </w:tc>
        <w:tc>
          <w:tcPr>
            <w:tcW w:type="dxa" w:w="4060"/>
            <w:tcBorders>
              <w:top w:val="single" w:color="D0D7E0" w:sz="1"/>
              <w:left w:val="single" w:color="D0D7E0" w:sz="1"/>
              <w:bottom w:val="single" w:color="D0D7E0" w:sz="1"/>
              <w:right w:val="single" w:color="D0D7E0" w:sz="1"/>
            </w:tcBorders>
            <w:shd w:fill="FDF0EF" w:val="clear"/>
            <w:tcMar>
              <w:top w:type="dxa" w:w="100"/>
              <w:left w:type="dxa" w:w="140"/>
              <w:bottom w:type="dxa" w:w="100"/>
              <w:right w:type="dxa" w:w="140"/>
            </w:tcMar>
          </w:tcPr>
          <w:p>
            <w:r>
              <w:rPr>
                <w:rFonts w:ascii="Arial" w:cs="Arial" w:eastAsia="Arial" w:hAnsi="Arial"/>
                <w:color w:val="C23B2E"/>
                <w:sz w:val="19"/>
                <w:szCs w:val="19"/>
              </w:rPr>
              <w:t xml:space="preserve">Most clients could not describe specific services they receive.</w:t>
            </w:r>
          </w:p>
        </w:tc>
      </w:tr>
      <w:tr>
        <w:tc>
          <w:tcPr>
            <w:tcW w:type="dxa" w:w="16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0E3A4D"/>
                <w:sz w:val="20"/>
                <w:szCs w:val="20"/>
              </w:rPr>
              <w:t xml:space="preserve">Neutral voice</w:t>
            </w:r>
          </w:p>
        </w:tc>
        <w:tc>
          <w:tcPr>
            <w:tcW w:type="dxa" w:w="4060"/>
            <w:tcBorders>
              <w:top w:val="single" w:color="D0D7E0" w:sz="1"/>
              <w:left w:val="single" w:color="D0D7E0" w:sz="1"/>
              <w:bottom w:val="single" w:color="D0D7E0" w:sz="1"/>
              <w:right w:val="single" w:color="D0D7E0" w:sz="1"/>
            </w:tcBorders>
            <w:shd w:fill="EDFAF2" w:val="clear"/>
            <w:tcMar>
              <w:top w:type="dxa" w:w="100"/>
              <w:left w:type="dxa" w:w="140"/>
              <w:bottom w:type="dxa" w:w="100"/>
              <w:right w:type="dxa" w:w="140"/>
            </w:tcMar>
          </w:tcPr>
          <w:p>
            <w:r>
              <w:rPr>
                <w:rFonts w:ascii="Arial" w:cs="Arial" w:eastAsia="Arial" w:hAnsi="Arial"/>
                <w:color w:val="1A7A45"/>
                <w:sz w:val="19"/>
                <w:szCs w:val="19"/>
              </w:rPr>
              <w:t xml:space="preserve">Clients expressed confidence in the advisor’s competence but could not articulate specific strategies.</w:t>
            </w:r>
          </w:p>
        </w:tc>
        <w:tc>
          <w:tcPr>
            <w:tcW w:type="dxa" w:w="4060"/>
            <w:tcBorders>
              <w:top w:val="single" w:color="D0D7E0" w:sz="1"/>
              <w:left w:val="single" w:color="D0D7E0" w:sz="1"/>
              <w:bottom w:val="single" w:color="D0D7E0" w:sz="1"/>
              <w:right w:val="single" w:color="D0D7E0" w:sz="1"/>
            </w:tcBorders>
            <w:shd w:fill="FDF0EF" w:val="clear"/>
            <w:tcMar>
              <w:top w:type="dxa" w:w="100"/>
              <w:left w:type="dxa" w:w="140"/>
              <w:bottom w:type="dxa" w:w="100"/>
              <w:right w:type="dxa" w:w="140"/>
            </w:tcMar>
          </w:tcPr>
          <w:p>
            <w:r>
              <w:rPr>
                <w:rFonts w:ascii="Arial" w:cs="Arial" w:eastAsia="Arial" w:hAnsi="Arial"/>
                <w:color w:val="C23B2E"/>
                <w:sz w:val="19"/>
                <w:szCs w:val="19"/>
              </w:rPr>
              <w:t xml:space="preserve">Unfortunately, clients had no idea what their advisor was doing for them.</w:t>
            </w:r>
          </w:p>
        </w:tc>
      </w:tr>
    </w:tbl>
    <w:p>
      <w:r>
        <w:br w:type="page"/>
      </w:r>
    </w:p>
    <w:p>
      <w:pPr>
        <w:pStyle w:val="Heading2"/>
      </w:pPr>
      <w:r>
        <w:t xml:space="preserve">2. Client Perspective</w:t>
      </w:r>
    </w:p>
    <w:p>
      <w:pPr>
        <w:spacing w:after="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0D7E0" w:sz="1"/>
              <w:left w:val="single" w:color="C6973B" w:sz="8"/>
              <w:bottom w:val="single" w:color="D0D7E0" w:sz="1"/>
              <w:right w:val="single" w:color="D0D7E0" w:sz="1"/>
            </w:tcBorders>
            <w:shd w:fill="FBF6ED" w:val="clear"/>
            <w:tcMar>
              <w:top w:type="dxa" w:w="120"/>
              <w:left w:type="dxa" w:w="200"/>
              <w:bottom w:type="dxa" w:w="120"/>
              <w:right w:type="dxa" w:w="200"/>
            </w:tcMar>
          </w:tcPr>
          <w:p>
            <w:pPr>
              <w:spacing w:after="40"/>
            </w:pPr>
            <w:r>
              <w:rPr>
                <w:rFonts w:ascii="Arial" w:cs="Arial" w:eastAsia="Arial" w:hAnsi="Arial"/>
                <w:b/>
                <w:bCs/>
                <w:color w:val="C6973B"/>
                <w:spacing w:val="60"/>
                <w:sz w:val="16"/>
                <w:szCs w:val="16"/>
              </w:rPr>
              <w:t xml:space="preserve">VOICE</w:t>
            </w:r>
          </w:p>
          <w:p>
            <w:pPr>
              <w:spacing w:after="0"/>
            </w:pPr>
            <w:r>
              <w:rPr>
                <w:rFonts w:ascii="Arial" w:cs="Arial" w:eastAsia="Arial" w:hAnsi="Arial"/>
                <w:color w:val="3D4659"/>
                <w:sz w:val="21"/>
                <w:szCs w:val="21"/>
              </w:rPr>
              <w:t xml:space="preserve">First-person client. Conversational, imperfect, human. The way a real person talks when asked a question they haven’t rehearsed. Never polished. Never marketing copy. Often trailing off or hedging.</w:t>
            </w:r>
          </w:p>
        </w:tc>
      </w:tr>
    </w:tbl>
    <w:p>
      <w:pPr>
        <w:spacing w:after="80"/>
      </w:pPr>
    </w:p>
    <w:p>
      <w:pPr>
        <w:pStyle w:val="Heading3"/>
      </w:pPr>
      <w:r>
        <w:t xml:space="preserve">Structural Requirements</w:t>
      </w:r>
    </w:p>
    <w:p>
      <w:pPr>
        <w:pStyle w:val="ListParagraph"/>
        <w:numPr>
          <w:ilvl w:val="0"/>
          <w:numId w:val="2"/>
        </w:numPr>
        <w:spacing w:after="80"/>
      </w:pPr>
      <w:r>
        <w:rPr>
          <w:rFonts w:ascii="Arial" w:cs="Arial" w:eastAsia="Arial" w:hAnsi="Arial"/>
          <w:b/>
          <w:bCs/>
          <w:color w:val="0E3A4D"/>
          <w:sz w:val="22"/>
          <w:szCs w:val="22"/>
        </w:rPr>
        <w:t xml:space="preserve">Must sound like spoken language, not written language. </w:t>
      </w:r>
      <w:r>
        <w:rPr>
          <w:rFonts w:ascii="Arial" w:cs="Arial" w:eastAsia="Arial" w:hAnsi="Arial"/>
          <w:color w:val="3D4659"/>
          <w:sz w:val="22"/>
          <w:szCs w:val="22"/>
        </w:rPr>
        <w:t xml:space="preserve">Contractions required. Filler words permitted (“honestly,” “I mean,” “I guess”). Sentence fragments permitted.</w:t>
      </w:r>
    </w:p>
    <w:p>
      <w:pPr>
        <w:pStyle w:val="ListParagraph"/>
        <w:numPr>
          <w:ilvl w:val="0"/>
          <w:numId w:val="2"/>
        </w:numPr>
        <w:spacing w:after="80"/>
      </w:pPr>
      <w:r>
        <w:rPr>
          <w:rFonts w:ascii="Arial" w:cs="Arial" w:eastAsia="Arial" w:hAnsi="Arial"/>
          <w:b/>
          <w:bCs/>
          <w:color w:val="0E3A4D"/>
          <w:sz w:val="22"/>
          <w:szCs w:val="22"/>
        </w:rPr>
        <w:t xml:space="preserve">Must contain one specific detail that anchors it to the module topic. </w:t>
      </w:r>
      <w:r>
        <w:rPr>
          <w:rFonts w:ascii="Arial" w:cs="Arial" w:eastAsia="Arial" w:hAnsi="Arial"/>
          <w:color w:val="3D4659"/>
          <w:sz w:val="22"/>
          <w:szCs w:val="22"/>
        </w:rPr>
        <w:t xml:space="preserve">A fee quote must mention fees, costs, or value. A risk quote must mention markets, protection, or downturns. Generic relationship praise fails.</w:t>
      </w:r>
    </w:p>
    <w:p>
      <w:pPr>
        <w:pStyle w:val="ListParagraph"/>
        <w:numPr>
          <w:ilvl w:val="0"/>
          <w:numId w:val="2"/>
        </w:numPr>
        <w:spacing w:after="80"/>
      </w:pPr>
      <w:r>
        <w:rPr>
          <w:rFonts w:ascii="Arial" w:cs="Arial" w:eastAsia="Arial" w:hAnsi="Arial"/>
          <w:b/>
          <w:bCs/>
          <w:color w:val="0E3A4D"/>
          <w:sz w:val="22"/>
          <w:szCs w:val="22"/>
        </w:rPr>
        <w:t xml:space="preserve">Must be 1–2 sentences maximum. </w:t>
      </w:r>
      <w:r>
        <w:rPr>
          <w:rFonts w:ascii="Arial" w:cs="Arial" w:eastAsia="Arial" w:hAnsi="Arial"/>
          <w:color w:val="3D4659"/>
          <w:sz w:val="22"/>
          <w:szCs w:val="22"/>
        </w:rPr>
        <w:t xml:space="preserve">Real people don’t give multi-paragraph answers to evaluation questions.</w:t>
      </w:r>
    </w:p>
    <w:p>
      <w:pPr>
        <w:pStyle w:val="ListParagraph"/>
        <w:numPr>
          <w:ilvl w:val="0"/>
          <w:numId w:val="2"/>
        </w:numPr>
        <w:spacing w:after="80"/>
      </w:pPr>
      <w:r>
        <w:rPr>
          <w:rFonts w:ascii="Arial" w:cs="Arial" w:eastAsia="Arial" w:hAnsi="Arial"/>
          <w:b/>
          <w:bCs/>
          <w:color w:val="0E3A4D"/>
          <w:sz w:val="22"/>
          <w:szCs w:val="22"/>
        </w:rPr>
        <w:t xml:space="preserve">Must be attributed as “Composite from client evaluation responses.” </w:t>
      </w:r>
      <w:r>
        <w:rPr>
          <w:rFonts w:ascii="Arial" w:cs="Arial" w:eastAsia="Arial" w:hAnsi="Arial"/>
          <w:color w:val="3D4659"/>
          <w:sz w:val="22"/>
          <w:szCs w:val="22"/>
        </w:rPr>
        <w:t xml:space="preserve">Never attribute to a specific person. Never imply direct recording.</w:t>
      </w:r>
    </w:p>
    <w:p>
      <w:pPr>
        <w:pStyle w:val="ListParagraph"/>
        <w:numPr>
          <w:ilvl w:val="0"/>
          <w:numId w:val="2"/>
        </w:numPr>
        <w:spacing w:after="80"/>
      </w:pPr>
      <w:r>
        <w:rPr>
          <w:rFonts w:ascii="Arial" w:cs="Arial" w:eastAsia="Arial" w:hAnsi="Arial"/>
          <w:b/>
          <w:bCs/>
          <w:color w:val="0E3A4D"/>
          <w:sz w:val="22"/>
          <w:szCs w:val="22"/>
        </w:rPr>
        <w:t xml:space="preserve">Must never praise the platform or the assessment process. </w:t>
      </w:r>
      <w:r>
        <w:rPr>
          <w:rFonts w:ascii="Arial" w:cs="Arial" w:eastAsia="Arial" w:hAnsi="Arial"/>
          <w:color w:val="3D4659"/>
          <w:sz w:val="22"/>
          <w:szCs w:val="22"/>
        </w:rPr>
        <w:t xml:space="preserve">The client is talking about their advisor, not about Point93.</w:t>
      </w:r>
    </w:p>
    <w:p>
      <w:pPr>
        <w:spacing w:after="60"/>
      </w:pPr>
    </w:p>
    <w:p>
      <w:pPr>
        <w:pStyle w:val="Heading3"/>
      </w:pPr>
      <w:r>
        <w:t xml:space="preserve">Validation Table</w:t>
      </w:r>
    </w:p>
    <w:p>
      <w:pPr>
        <w:spacing w:after="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4060"/>
        <w:gridCol w:w="4060"/>
      </w:tblGrid>
      <w:tr>
        <w:tc>
          <w:tcPr>
            <w:tcW w:type="dxa" w:w="160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406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20"/>
                <w:szCs w:val="20"/>
              </w:rPr>
              <w:t xml:space="preserve">✓ Passes</w:t>
            </w:r>
          </w:p>
        </w:tc>
        <w:tc>
          <w:tcPr>
            <w:tcW w:type="dxa" w:w="406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20"/>
                <w:szCs w:val="20"/>
              </w:rPr>
              <w:t xml:space="preserve">✗ Fails</w:t>
            </w:r>
          </w:p>
        </w:tc>
      </w:tr>
      <w:tr>
        <w:tc>
          <w:tcPr>
            <w:tcW w:type="dxa" w:w="16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0E3A4D"/>
                <w:sz w:val="20"/>
                <w:szCs w:val="20"/>
              </w:rPr>
              <w:t xml:space="preserve">Spoken tone</w:t>
            </w:r>
          </w:p>
        </w:tc>
        <w:tc>
          <w:tcPr>
            <w:tcW w:type="dxa" w:w="4060"/>
            <w:tcBorders>
              <w:top w:val="single" w:color="D0D7E0" w:sz="1"/>
              <w:left w:val="single" w:color="D0D7E0" w:sz="1"/>
              <w:bottom w:val="single" w:color="D0D7E0" w:sz="1"/>
              <w:right w:val="single" w:color="D0D7E0" w:sz="1"/>
            </w:tcBorders>
            <w:shd w:fill="EDFAF2" w:val="clear"/>
            <w:tcMar>
              <w:top w:type="dxa" w:w="100"/>
              <w:left w:type="dxa" w:w="140"/>
              <w:bottom w:type="dxa" w:w="100"/>
              <w:right w:type="dxa" w:w="140"/>
            </w:tcMar>
          </w:tcPr>
          <w:p>
            <w:r>
              <w:rPr>
                <w:rFonts w:ascii="Arial" w:cs="Arial" w:eastAsia="Arial" w:hAnsi="Arial"/>
                <w:color w:val="1A7A45"/>
                <w:sz w:val="19"/>
                <w:szCs w:val="19"/>
              </w:rPr>
              <w:t xml:space="preserve">“I assume he’s competitive, but I’ve honestly never compared.”</w:t>
            </w:r>
          </w:p>
        </w:tc>
        <w:tc>
          <w:tcPr>
            <w:tcW w:type="dxa" w:w="4060"/>
            <w:tcBorders>
              <w:top w:val="single" w:color="D0D7E0" w:sz="1"/>
              <w:left w:val="single" w:color="D0D7E0" w:sz="1"/>
              <w:bottom w:val="single" w:color="D0D7E0" w:sz="1"/>
              <w:right w:val="single" w:color="D0D7E0" w:sz="1"/>
            </w:tcBorders>
            <w:shd w:fill="FDF0EF" w:val="clear"/>
            <w:tcMar>
              <w:top w:type="dxa" w:w="100"/>
              <w:left w:type="dxa" w:w="140"/>
              <w:bottom w:type="dxa" w:w="100"/>
              <w:right w:type="dxa" w:w="140"/>
            </w:tcMar>
          </w:tcPr>
          <w:p>
            <w:r>
              <w:rPr>
                <w:rFonts w:ascii="Arial" w:cs="Arial" w:eastAsia="Arial" w:hAnsi="Arial"/>
                <w:color w:val="C23B2E"/>
                <w:sz w:val="19"/>
                <w:szCs w:val="19"/>
              </w:rPr>
              <w:t xml:space="preserve">“I believe my advisor offers competitive pricing but I have not conducted a thorough comparison.”</w:t>
            </w:r>
          </w:p>
        </w:tc>
      </w:tr>
      <w:tr>
        <w:tc>
          <w:tcPr>
            <w:tcW w:type="dxa" w:w="16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0E3A4D"/>
                <w:sz w:val="20"/>
                <w:szCs w:val="20"/>
              </w:rPr>
              <w:t xml:space="preserve">Topic anchor</w:t>
            </w:r>
          </w:p>
        </w:tc>
        <w:tc>
          <w:tcPr>
            <w:tcW w:type="dxa" w:w="4060"/>
            <w:tcBorders>
              <w:top w:val="single" w:color="D0D7E0" w:sz="1"/>
              <w:left w:val="single" w:color="D0D7E0" w:sz="1"/>
              <w:bottom w:val="single" w:color="D0D7E0" w:sz="1"/>
              <w:right w:val="single" w:color="D0D7E0" w:sz="1"/>
            </w:tcBorders>
            <w:shd w:fill="EDFAF2" w:val="clear"/>
            <w:tcMar>
              <w:top w:type="dxa" w:w="100"/>
              <w:left w:type="dxa" w:w="140"/>
              <w:bottom w:type="dxa" w:w="100"/>
              <w:right w:type="dxa" w:w="140"/>
            </w:tcMar>
          </w:tcPr>
          <w:p>
            <w:r>
              <w:rPr>
                <w:rFonts w:ascii="Arial" w:cs="Arial" w:eastAsia="Arial" w:hAnsi="Arial"/>
                <w:color w:val="1A7A45"/>
                <w:sz w:val="19"/>
                <w:szCs w:val="19"/>
              </w:rPr>
              <w:t xml:space="preserve">“He showed me the research behind every fund pick. No one else ever did that.”</w:t>
            </w:r>
          </w:p>
        </w:tc>
        <w:tc>
          <w:tcPr>
            <w:tcW w:type="dxa" w:w="4060"/>
            <w:tcBorders>
              <w:top w:val="single" w:color="D0D7E0" w:sz="1"/>
              <w:left w:val="single" w:color="D0D7E0" w:sz="1"/>
              <w:bottom w:val="single" w:color="D0D7E0" w:sz="1"/>
              <w:right w:val="single" w:color="D0D7E0" w:sz="1"/>
            </w:tcBorders>
            <w:shd w:fill="FDF0EF" w:val="clear"/>
            <w:tcMar>
              <w:top w:type="dxa" w:w="100"/>
              <w:left w:type="dxa" w:w="140"/>
              <w:bottom w:type="dxa" w:w="100"/>
              <w:right w:type="dxa" w:w="140"/>
            </w:tcMar>
          </w:tcPr>
          <w:p>
            <w:r>
              <w:rPr>
                <w:rFonts w:ascii="Arial" w:cs="Arial" w:eastAsia="Arial" w:hAnsi="Arial"/>
                <w:color w:val="C23B2E"/>
                <w:sz w:val="19"/>
                <w:szCs w:val="19"/>
              </w:rPr>
              <w:t xml:space="preserve">“He’s really great and I trust him completely.”</w:t>
            </w:r>
          </w:p>
        </w:tc>
      </w:tr>
      <w:tr>
        <w:tc>
          <w:tcPr>
            <w:tcW w:type="dxa" w:w="16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0E3A4D"/>
                <w:sz w:val="20"/>
                <w:szCs w:val="20"/>
              </w:rPr>
              <w:t xml:space="preserve">Length</w:t>
            </w:r>
          </w:p>
        </w:tc>
        <w:tc>
          <w:tcPr>
            <w:tcW w:type="dxa" w:w="4060"/>
            <w:tcBorders>
              <w:top w:val="single" w:color="D0D7E0" w:sz="1"/>
              <w:left w:val="single" w:color="D0D7E0" w:sz="1"/>
              <w:bottom w:val="single" w:color="D0D7E0" w:sz="1"/>
              <w:right w:val="single" w:color="D0D7E0" w:sz="1"/>
            </w:tcBorders>
            <w:shd w:fill="EDFAF2" w:val="clear"/>
            <w:tcMar>
              <w:top w:type="dxa" w:w="100"/>
              <w:left w:type="dxa" w:w="140"/>
              <w:bottom w:type="dxa" w:w="100"/>
              <w:right w:type="dxa" w:w="140"/>
            </w:tcMar>
          </w:tcPr>
          <w:p>
            <w:r>
              <w:rPr>
                <w:rFonts w:ascii="Arial" w:cs="Arial" w:eastAsia="Arial" w:hAnsi="Arial"/>
                <w:color w:val="1A7A45"/>
                <w:sz w:val="19"/>
                <w:szCs w:val="19"/>
              </w:rPr>
              <w:t xml:space="preserve">“I know he’s careful, but I couldn’t tell you what he’d do if the market dropped 30%.”</w:t>
            </w:r>
          </w:p>
        </w:tc>
        <w:tc>
          <w:tcPr>
            <w:tcW w:type="dxa" w:w="4060"/>
            <w:tcBorders>
              <w:top w:val="single" w:color="D0D7E0" w:sz="1"/>
              <w:left w:val="single" w:color="D0D7E0" w:sz="1"/>
              <w:bottom w:val="single" w:color="D0D7E0" w:sz="1"/>
              <w:right w:val="single" w:color="D0D7E0" w:sz="1"/>
            </w:tcBorders>
            <w:shd w:fill="FDF0EF" w:val="clear"/>
            <w:tcMar>
              <w:top w:type="dxa" w:w="100"/>
              <w:left w:type="dxa" w:w="140"/>
              <w:bottom w:type="dxa" w:w="100"/>
              <w:right w:type="dxa" w:w="140"/>
            </w:tcMar>
          </w:tcPr>
          <w:p>
            <w:r>
              <w:rPr>
                <w:rFonts w:ascii="Arial" w:cs="Arial" w:eastAsia="Arial" w:hAnsi="Arial"/>
                <w:color w:val="C23B2E"/>
                <w:sz w:val="19"/>
                <w:szCs w:val="19"/>
              </w:rPr>
              <w:t xml:space="preserve">“Well, I think he’s pretty careful with my investments, and I trust that he has some kind of plan in place, though if I’m being honest, I’m not entirely sure...”</w:t>
            </w:r>
          </w:p>
        </w:tc>
      </w:tr>
      <w:tr>
        <w:tc>
          <w:tcPr>
            <w:tcW w:type="dxa" w:w="16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0E3A4D"/>
                <w:sz w:val="20"/>
                <w:szCs w:val="20"/>
              </w:rPr>
              <w:t xml:space="preserve">Imperfection</w:t>
            </w:r>
          </w:p>
        </w:tc>
        <w:tc>
          <w:tcPr>
            <w:tcW w:type="dxa" w:w="4060"/>
            <w:tcBorders>
              <w:top w:val="single" w:color="D0D7E0" w:sz="1"/>
              <w:left w:val="single" w:color="D0D7E0" w:sz="1"/>
              <w:bottom w:val="single" w:color="D0D7E0" w:sz="1"/>
              <w:right w:val="single" w:color="D0D7E0" w:sz="1"/>
            </w:tcBorders>
            <w:shd w:fill="EDFAF2" w:val="clear"/>
            <w:tcMar>
              <w:top w:type="dxa" w:w="100"/>
              <w:left w:type="dxa" w:w="140"/>
              <w:bottom w:type="dxa" w:w="100"/>
              <w:right w:type="dxa" w:w="140"/>
            </w:tcMar>
          </w:tcPr>
          <w:p>
            <w:r>
              <w:rPr>
                <w:rFonts w:ascii="Arial" w:cs="Arial" w:eastAsia="Arial" w:hAnsi="Arial"/>
                <w:color w:val="1A7A45"/>
                <w:sz w:val="19"/>
                <w:szCs w:val="19"/>
              </w:rPr>
              <w:t xml:space="preserve">“I just trust that it’s fair because he’s a good guy.”</w:t>
            </w:r>
          </w:p>
        </w:tc>
        <w:tc>
          <w:tcPr>
            <w:tcW w:type="dxa" w:w="4060"/>
            <w:tcBorders>
              <w:top w:val="single" w:color="D0D7E0" w:sz="1"/>
              <w:left w:val="single" w:color="D0D7E0" w:sz="1"/>
              <w:bottom w:val="single" w:color="D0D7E0" w:sz="1"/>
              <w:right w:val="single" w:color="D0D7E0" w:sz="1"/>
            </w:tcBorders>
            <w:shd w:fill="FDF0EF" w:val="clear"/>
            <w:tcMar>
              <w:top w:type="dxa" w:w="100"/>
              <w:left w:type="dxa" w:w="140"/>
              <w:bottom w:type="dxa" w:w="100"/>
              <w:right w:type="dxa" w:w="140"/>
            </w:tcMar>
          </w:tcPr>
          <w:p>
            <w:r>
              <w:rPr>
                <w:rFonts w:ascii="Arial" w:cs="Arial" w:eastAsia="Arial" w:hAnsi="Arial"/>
                <w:color w:val="C23B2E"/>
                <w:sz w:val="19"/>
                <w:szCs w:val="19"/>
              </w:rPr>
              <w:t xml:space="preserve">“I have full confidence in the fairness of his fee structure.”</w:t>
            </w:r>
          </w:p>
        </w:tc>
      </w:tr>
    </w:tbl>
    <w:p>
      <w:pPr>
        <w:spacing w:after="60"/>
      </w:pPr>
    </w:p>
    <w:p>
      <w:pPr>
        <w:pStyle w:val="Heading3"/>
      </w:pPr>
      <w:r>
        <w:t xml:space="preserve">Band-Adaptive Patterns</w:t>
      </w:r>
    </w:p>
    <w:p>
      <w:pPr>
        <w:spacing w:after="160"/>
      </w:pPr>
      <w:r>
        <w:rPr>
          <w:rFonts w:ascii="Arial" w:cs="Arial" w:eastAsia="Arial" w:hAnsi="Arial"/>
          <w:color w:val="3D4659"/>
          <w:sz w:val="22"/>
          <w:szCs w:val="22"/>
        </w:rPr>
        <w:t xml:space="preserve">Client voice must shift authentically across performance bands. The client isn’t aware of scores — they’re describing their experience:</w:t>
      </w:r>
    </w:p>
    <w:p>
      <w:pPr>
        <w:spacing w:after="40"/>
      </w:pPr>
    </w:p>
    <w:p>
      <w:pPr>
        <w:pStyle w:val="ListParagraph"/>
        <w:numPr>
          <w:ilvl w:val="0"/>
          <w:numId w:val="2"/>
        </w:numPr>
        <w:spacing w:after="80"/>
      </w:pPr>
      <w:r>
        <w:rPr>
          <w:rFonts w:ascii="Arial" w:cs="Arial" w:eastAsia="Arial" w:hAnsi="Arial"/>
          <w:b/>
          <w:bCs/>
          <w:color w:val="1A7A45"/>
          <w:sz w:val="22"/>
          <w:szCs w:val="22"/>
        </w:rPr>
        <w:t xml:space="preserve">Competitive: </w:t>
      </w:r>
      <w:r>
        <w:rPr>
          <w:rFonts w:ascii="Arial" w:cs="Arial" w:eastAsia="Arial" w:hAnsi="Arial"/>
          <w:color w:val="3D4659"/>
          <w:sz w:val="22"/>
          <w:szCs w:val="22"/>
        </w:rPr>
        <w:t xml:space="preserve">Client volunteers positive specifics unprompted. “He showed me the research behind every pick.”</w:t>
      </w:r>
    </w:p>
    <w:p>
      <w:pPr>
        <w:pStyle w:val="ListParagraph"/>
        <w:numPr>
          <w:ilvl w:val="0"/>
          <w:numId w:val="2"/>
        </w:numPr>
        <w:spacing w:after="80"/>
      </w:pPr>
      <w:r>
        <w:rPr>
          <w:rFonts w:ascii="Arial" w:cs="Arial" w:eastAsia="Arial" w:hAnsi="Arial"/>
          <w:b/>
          <w:bCs/>
          <w:color w:val="3A7AB8"/>
          <w:sz w:val="22"/>
          <w:szCs w:val="22"/>
        </w:rPr>
        <w:t xml:space="preserve">Good: </w:t>
      </w:r>
      <w:r>
        <w:rPr>
          <w:rFonts w:ascii="Arial" w:cs="Arial" w:eastAsia="Arial" w:hAnsi="Arial"/>
          <w:color w:val="3D4659"/>
          <w:sz w:val="22"/>
          <w:szCs w:val="22"/>
        </w:rPr>
        <w:t xml:space="preserve">Client is positive but vague on details. “I know he’s thorough but I couldn’t tell you the specifics.”</w:t>
      </w:r>
    </w:p>
    <w:p>
      <w:pPr>
        <w:pStyle w:val="ListParagraph"/>
        <w:numPr>
          <w:ilvl w:val="0"/>
          <w:numId w:val="2"/>
        </w:numPr>
        <w:spacing w:after="80"/>
      </w:pPr>
      <w:r>
        <w:rPr>
          <w:rFonts w:ascii="Arial" w:cs="Arial" w:eastAsia="Arial" w:hAnsi="Arial"/>
          <w:b/>
          <w:bCs/>
          <w:color w:val="C6973B"/>
          <w:sz w:val="22"/>
          <w:szCs w:val="22"/>
        </w:rPr>
        <w:t xml:space="preserve">Needs Work: </w:t>
      </w:r>
      <w:r>
        <w:rPr>
          <w:rFonts w:ascii="Arial" w:cs="Arial" w:eastAsia="Arial" w:hAnsi="Arial"/>
          <w:color w:val="3D4659"/>
          <w:sz w:val="22"/>
          <w:szCs w:val="22"/>
        </w:rPr>
        <w:t xml:space="preserve">Client hedges or deflects. “I mean, I assume he’s doing his homework but I wouldn’t really know.”</w:t>
      </w:r>
    </w:p>
    <w:p>
      <w:pPr>
        <w:pStyle w:val="ListParagraph"/>
        <w:numPr>
          <w:ilvl w:val="0"/>
          <w:numId w:val="2"/>
        </w:numPr>
        <w:spacing w:after="80"/>
      </w:pPr>
      <w:r>
        <w:rPr>
          <w:rFonts w:ascii="Arial" w:cs="Arial" w:eastAsia="Arial" w:hAnsi="Arial"/>
          <w:b/>
          <w:bCs/>
          <w:color w:val="C23B2E"/>
          <w:sz w:val="22"/>
          <w:szCs w:val="22"/>
        </w:rPr>
        <w:t xml:space="preserve">At Risk: </w:t>
      </w:r>
      <w:r>
        <w:rPr>
          <w:rFonts w:ascii="Arial" w:cs="Arial" w:eastAsia="Arial" w:hAnsi="Arial"/>
          <w:color w:val="3D4659"/>
          <w:sz w:val="22"/>
          <w:szCs w:val="22"/>
        </w:rPr>
        <w:t xml:space="preserve">Client expresses blind trust or ignorance without concern. “I’ve honestly never thought about it.”</w:t>
      </w:r>
    </w:p>
    <w:p>
      <w:r>
        <w:br w:type="page"/>
      </w:r>
    </w:p>
    <w:p>
      <w:pPr>
        <w:pStyle w:val="Heading2"/>
      </w:pPr>
      <w:r>
        <w:t xml:space="preserve">3. Behavioral Benchmark</w:t>
      </w:r>
    </w:p>
    <w:p>
      <w:pPr>
        <w:spacing w:after="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0D7E0" w:sz="1"/>
              <w:left w:val="single" w:color="1A7A45" w:sz="8"/>
              <w:bottom w:val="single" w:color="D0D7E0" w:sz="1"/>
              <w:right w:val="single" w:color="D0D7E0" w:sz="1"/>
            </w:tcBorders>
            <w:shd w:fill="EDFAF2" w:val="clear"/>
            <w:tcMar>
              <w:top w:type="dxa" w:w="120"/>
              <w:left w:type="dxa" w:w="200"/>
              <w:bottom w:type="dxa" w:w="120"/>
              <w:right w:type="dxa" w:w="200"/>
            </w:tcMar>
          </w:tcPr>
          <w:p>
            <w:pPr>
              <w:spacing w:after="40"/>
            </w:pPr>
            <w:r>
              <w:rPr>
                <w:rFonts w:ascii="Arial" w:cs="Arial" w:eastAsia="Arial" w:hAnsi="Arial"/>
                <w:b/>
                <w:bCs/>
                <w:color w:val="1A7A45"/>
                <w:spacing w:val="60"/>
                <w:sz w:val="16"/>
                <w:szCs w:val="16"/>
              </w:rPr>
              <w:t xml:space="preserve">VOICE</w:t>
            </w:r>
          </w:p>
          <w:p>
            <w:pPr>
              <w:spacing w:after="0"/>
            </w:pPr>
            <w:r>
              <w:rPr>
                <w:rFonts w:ascii="Arial" w:cs="Arial" w:eastAsia="Arial" w:hAnsi="Arial"/>
                <w:color w:val="3D4659"/>
                <w:sz w:val="21"/>
                <w:szCs w:val="21"/>
              </w:rPr>
              <w:t xml:space="preserve">Authoritative researcher. Presenting findings from a body of evaluation data. Matter-of-fact, not aspirational. The tone of someone sharing results, not motivating a crowd.</w:t>
            </w:r>
          </w:p>
        </w:tc>
      </w:tr>
    </w:tbl>
    <w:p>
      <w:pPr>
        <w:spacing w:after="80"/>
      </w:pPr>
    </w:p>
    <w:p>
      <w:pPr>
        <w:pStyle w:val="Heading3"/>
      </w:pPr>
      <w:r>
        <w:t xml:space="preserve">Structural Requirements</w:t>
      </w:r>
    </w:p>
    <w:p>
      <w:pPr>
        <w:pStyle w:val="ListParagraph"/>
        <w:numPr>
          <w:ilvl w:val="0"/>
          <w:numId w:val="2"/>
        </w:numPr>
        <w:spacing w:after="80"/>
      </w:pPr>
      <w:r>
        <w:rPr>
          <w:rFonts w:ascii="Arial" w:cs="Arial" w:eastAsia="Arial" w:hAnsi="Arial"/>
          <w:b/>
          <w:bCs/>
          <w:color w:val="0E3A4D"/>
          <w:sz w:val="22"/>
          <w:szCs w:val="22"/>
        </w:rPr>
        <w:t xml:space="preserve">Must contain at least one specific statistic </w:t>
      </w:r>
      <w:r>
        <w:rPr>
          <w:rFonts w:ascii="Arial" w:cs="Arial" w:eastAsia="Arial" w:hAnsi="Arial"/>
          <w:color w:val="3D4659"/>
          <w:sz w:val="22"/>
          <w:szCs w:val="22"/>
        </w:rPr>
        <w:t xml:space="preserve">(“89% of top-5% advisors,” “71% provide written summaries”). A benchmark without a number is just an opinion.</w:t>
      </w:r>
    </w:p>
    <w:p>
      <w:pPr>
        <w:pStyle w:val="ListParagraph"/>
        <w:numPr>
          <w:ilvl w:val="0"/>
          <w:numId w:val="2"/>
        </w:numPr>
        <w:spacing w:after="80"/>
      </w:pPr>
      <w:r>
        <w:rPr>
          <w:rFonts w:ascii="Arial" w:cs="Arial" w:eastAsia="Arial" w:hAnsi="Arial"/>
          <w:b/>
          <w:bCs/>
          <w:color w:val="0E3A4D"/>
          <w:sz w:val="22"/>
          <w:szCs w:val="22"/>
        </w:rPr>
        <w:t xml:space="preserve">Must describe a behavior, not a quality. </w:t>
      </w:r>
      <w:r>
        <w:rPr>
          <w:rFonts w:ascii="Arial" w:cs="Arial" w:eastAsia="Arial" w:hAnsi="Arial"/>
          <w:color w:val="3D4659"/>
          <w:sz w:val="22"/>
          <w:szCs w:val="22"/>
        </w:rPr>
        <w:t xml:space="preserve">“Top advisors proactively discuss fee comparisons during onboarding” (behavior) not “Top advisors are more transparent about fees” (quality).</w:t>
      </w:r>
    </w:p>
    <w:p>
      <w:pPr>
        <w:pStyle w:val="ListParagraph"/>
        <w:numPr>
          <w:ilvl w:val="0"/>
          <w:numId w:val="2"/>
        </w:numPr>
        <w:spacing w:after="80"/>
      </w:pPr>
      <w:r>
        <w:rPr>
          <w:rFonts w:ascii="Arial" w:cs="Arial" w:eastAsia="Arial" w:hAnsi="Arial"/>
          <w:b/>
          <w:bCs/>
          <w:color w:val="0E3A4D"/>
          <w:sz w:val="22"/>
          <w:szCs w:val="22"/>
        </w:rPr>
        <w:t xml:space="preserve">Must be actionable by implication. </w:t>
      </w:r>
      <w:r>
        <w:rPr>
          <w:rFonts w:ascii="Arial" w:cs="Arial" w:eastAsia="Arial" w:hAnsi="Arial"/>
          <w:color w:val="3D4659"/>
          <w:sz w:val="22"/>
          <w:szCs w:val="22"/>
        </w:rPr>
        <w:t xml:space="preserve">After reading the benchmark, the advisor should be able to picture doing the thing described.</w:t>
      </w:r>
    </w:p>
    <w:p>
      <w:pPr>
        <w:pStyle w:val="ListParagraph"/>
        <w:numPr>
          <w:ilvl w:val="0"/>
          <w:numId w:val="2"/>
        </w:numPr>
        <w:spacing w:after="80"/>
      </w:pPr>
      <w:r>
        <w:rPr>
          <w:rFonts w:ascii="Arial" w:cs="Arial" w:eastAsia="Arial" w:hAnsi="Arial"/>
          <w:b/>
          <w:bCs/>
          <w:color w:val="0E3A4D"/>
          <w:sz w:val="22"/>
          <w:szCs w:val="22"/>
        </w:rPr>
        <w:t xml:space="preserve">Must not be aspirational or motivational. </w:t>
      </w:r>
      <w:r>
        <w:rPr>
          <w:rFonts w:ascii="Arial" w:cs="Arial" w:eastAsia="Arial" w:hAnsi="Arial"/>
          <w:color w:val="3D4659"/>
          <w:sz w:val="22"/>
          <w:szCs w:val="22"/>
        </w:rPr>
        <w:t xml:space="preserve">No “you too can achieve this!” energy. Report the finding and let the advisor draw their own conclusions.</w:t>
      </w:r>
    </w:p>
    <w:p>
      <w:pPr>
        <w:pStyle w:val="ListParagraph"/>
        <w:numPr>
          <w:ilvl w:val="0"/>
          <w:numId w:val="2"/>
        </w:numPr>
        <w:spacing w:after="80"/>
      </w:pPr>
      <w:r>
        <w:rPr>
          <w:rFonts w:ascii="Arial" w:cs="Arial" w:eastAsia="Arial" w:hAnsi="Arial"/>
          <w:b/>
          <w:bCs/>
          <w:color w:val="0E3A4D"/>
          <w:sz w:val="22"/>
          <w:szCs w:val="22"/>
        </w:rPr>
        <w:t xml:space="preserve">Must reference “top-5% advisors” or “top-performing advisors.” </w:t>
      </w:r>
      <w:r>
        <w:rPr>
          <w:rFonts w:ascii="Arial" w:cs="Arial" w:eastAsia="Arial" w:hAnsi="Arial"/>
          <w:color w:val="3D4659"/>
          <w:sz w:val="22"/>
          <w:szCs w:val="22"/>
        </w:rPr>
        <w:t xml:space="preserve">Never “best advisors,” “great advisors,” or “successful advisors.” The benchmark references a specific quantile, not a vague superlative.</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4060"/>
        <w:gridCol w:w="4060"/>
      </w:tblGrid>
      <w:tr>
        <w:tc>
          <w:tcPr>
            <w:tcW w:type="dxa" w:w="160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406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20"/>
                <w:szCs w:val="20"/>
              </w:rPr>
              <w:t xml:space="preserve">✓ Passes</w:t>
            </w:r>
          </w:p>
        </w:tc>
        <w:tc>
          <w:tcPr>
            <w:tcW w:type="dxa" w:w="406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20"/>
                <w:szCs w:val="20"/>
              </w:rPr>
              <w:t xml:space="preserve">✗ Fails</w:t>
            </w:r>
          </w:p>
        </w:tc>
      </w:tr>
      <w:tr>
        <w:tc>
          <w:tcPr>
            <w:tcW w:type="dxa" w:w="16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0E3A4D"/>
                <w:sz w:val="20"/>
                <w:szCs w:val="20"/>
              </w:rPr>
              <w:t xml:space="preserve">Statistic</w:t>
            </w:r>
          </w:p>
        </w:tc>
        <w:tc>
          <w:tcPr>
            <w:tcW w:type="dxa" w:w="4060"/>
            <w:tcBorders>
              <w:top w:val="single" w:color="D0D7E0" w:sz="1"/>
              <w:left w:val="single" w:color="D0D7E0" w:sz="1"/>
              <w:bottom w:val="single" w:color="D0D7E0" w:sz="1"/>
              <w:right w:val="single" w:color="D0D7E0" w:sz="1"/>
            </w:tcBorders>
            <w:shd w:fill="EDFAF2" w:val="clear"/>
            <w:tcMar>
              <w:top w:type="dxa" w:w="100"/>
              <w:left w:type="dxa" w:w="140"/>
              <w:bottom w:type="dxa" w:w="100"/>
              <w:right w:type="dxa" w:w="140"/>
            </w:tcMar>
          </w:tcPr>
          <w:p>
            <w:r>
              <w:rPr>
                <w:rFonts w:ascii="Arial" w:cs="Arial" w:eastAsia="Arial" w:hAnsi="Arial"/>
                <w:color w:val="1A7A45"/>
                <w:sz w:val="19"/>
                <w:szCs w:val="19"/>
              </w:rPr>
              <w:t xml:space="preserve">89% of top-5% advisors proactively discuss fee comparisons during onboarding.</w:t>
            </w:r>
          </w:p>
        </w:tc>
        <w:tc>
          <w:tcPr>
            <w:tcW w:type="dxa" w:w="4060"/>
            <w:tcBorders>
              <w:top w:val="single" w:color="D0D7E0" w:sz="1"/>
              <w:left w:val="single" w:color="D0D7E0" w:sz="1"/>
              <w:bottom w:val="single" w:color="D0D7E0" w:sz="1"/>
              <w:right w:val="single" w:color="D0D7E0" w:sz="1"/>
            </w:tcBorders>
            <w:shd w:fill="FDF0EF" w:val="clear"/>
            <w:tcMar>
              <w:top w:type="dxa" w:w="100"/>
              <w:left w:type="dxa" w:w="140"/>
              <w:bottom w:type="dxa" w:w="100"/>
              <w:right w:type="dxa" w:w="140"/>
            </w:tcMar>
          </w:tcPr>
          <w:p>
            <w:r>
              <w:rPr>
                <w:rFonts w:ascii="Arial" w:cs="Arial" w:eastAsia="Arial" w:hAnsi="Arial"/>
                <w:color w:val="C23B2E"/>
                <w:sz w:val="19"/>
                <w:szCs w:val="19"/>
              </w:rPr>
              <w:t xml:space="preserve">The best advisors tend to be more upfront about their fees with clients.</w:t>
            </w:r>
          </w:p>
        </w:tc>
      </w:tr>
      <w:tr>
        <w:tc>
          <w:tcPr>
            <w:tcW w:type="dxa" w:w="16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0E3A4D"/>
                <w:sz w:val="20"/>
                <w:szCs w:val="20"/>
              </w:rPr>
              <w:t xml:space="preserve">Behavior</w:t>
            </w:r>
          </w:p>
        </w:tc>
        <w:tc>
          <w:tcPr>
            <w:tcW w:type="dxa" w:w="4060"/>
            <w:tcBorders>
              <w:top w:val="single" w:color="D0D7E0" w:sz="1"/>
              <w:left w:val="single" w:color="D0D7E0" w:sz="1"/>
              <w:bottom w:val="single" w:color="D0D7E0" w:sz="1"/>
              <w:right w:val="single" w:color="D0D7E0" w:sz="1"/>
            </w:tcBorders>
            <w:shd w:fill="EDFAF2" w:val="clear"/>
            <w:tcMar>
              <w:top w:type="dxa" w:w="100"/>
              <w:left w:type="dxa" w:w="140"/>
              <w:bottom w:type="dxa" w:w="100"/>
              <w:right w:type="dxa" w:w="140"/>
            </w:tcMar>
          </w:tcPr>
          <w:p>
            <w:r>
              <w:rPr>
                <w:rFonts w:ascii="Arial" w:cs="Arial" w:eastAsia="Arial" w:hAnsi="Arial"/>
                <w:color w:val="1A7A45"/>
                <w:sz w:val="19"/>
                <w:szCs w:val="19"/>
              </w:rPr>
              <w:t xml:space="preserve">They also revisit value articulation at least annually, connecting specific services to specific fees.</w:t>
            </w:r>
          </w:p>
        </w:tc>
        <w:tc>
          <w:tcPr>
            <w:tcW w:type="dxa" w:w="4060"/>
            <w:tcBorders>
              <w:top w:val="single" w:color="D0D7E0" w:sz="1"/>
              <w:left w:val="single" w:color="D0D7E0" w:sz="1"/>
              <w:bottom w:val="single" w:color="D0D7E0" w:sz="1"/>
              <w:right w:val="single" w:color="D0D7E0" w:sz="1"/>
            </w:tcBorders>
            <w:shd w:fill="FDF0EF" w:val="clear"/>
            <w:tcMar>
              <w:top w:type="dxa" w:w="100"/>
              <w:left w:type="dxa" w:w="140"/>
              <w:bottom w:type="dxa" w:w="100"/>
              <w:right w:type="dxa" w:w="140"/>
            </w:tcMar>
          </w:tcPr>
          <w:p>
            <w:r>
              <w:rPr>
                <w:rFonts w:ascii="Arial" w:cs="Arial" w:eastAsia="Arial" w:hAnsi="Arial"/>
                <w:color w:val="C23B2E"/>
                <w:sz w:val="19"/>
                <w:szCs w:val="19"/>
              </w:rPr>
              <w:t xml:space="preserve">They maintain strong relationships through ongoing communication about fees.</w:t>
            </w:r>
          </w:p>
        </w:tc>
      </w:tr>
      <w:tr>
        <w:tc>
          <w:tcPr>
            <w:tcW w:type="dxa" w:w="16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0E3A4D"/>
                <w:sz w:val="20"/>
                <w:szCs w:val="20"/>
              </w:rPr>
              <w:t xml:space="preserve">Tone</w:t>
            </w:r>
          </w:p>
        </w:tc>
        <w:tc>
          <w:tcPr>
            <w:tcW w:type="dxa" w:w="4060"/>
            <w:tcBorders>
              <w:top w:val="single" w:color="D0D7E0" w:sz="1"/>
              <w:left w:val="single" w:color="D0D7E0" w:sz="1"/>
              <w:bottom w:val="single" w:color="D0D7E0" w:sz="1"/>
              <w:right w:val="single" w:color="D0D7E0" w:sz="1"/>
            </w:tcBorders>
            <w:shd w:fill="EDFAF2" w:val="clear"/>
            <w:tcMar>
              <w:top w:type="dxa" w:w="100"/>
              <w:left w:type="dxa" w:w="140"/>
              <w:bottom w:type="dxa" w:w="100"/>
              <w:right w:type="dxa" w:w="140"/>
            </w:tcMar>
          </w:tcPr>
          <w:p>
            <w:r>
              <w:rPr>
                <w:rFonts w:ascii="Arial" w:cs="Arial" w:eastAsia="Arial" w:hAnsi="Arial"/>
                <w:color w:val="1A7A45"/>
                <w:sz w:val="19"/>
                <w:szCs w:val="19"/>
              </w:rPr>
              <w:t xml:space="preserve">76% use a standardized due diligence checklist that they walk clients through.</w:t>
            </w:r>
          </w:p>
        </w:tc>
        <w:tc>
          <w:tcPr>
            <w:tcW w:type="dxa" w:w="4060"/>
            <w:tcBorders>
              <w:top w:val="single" w:color="D0D7E0" w:sz="1"/>
              <w:left w:val="single" w:color="D0D7E0" w:sz="1"/>
              <w:bottom w:val="single" w:color="D0D7E0" w:sz="1"/>
              <w:right w:val="single" w:color="D0D7E0" w:sz="1"/>
            </w:tcBorders>
            <w:shd w:fill="FDF0EF" w:val="clear"/>
            <w:tcMar>
              <w:top w:type="dxa" w:w="100"/>
              <w:left w:type="dxa" w:w="140"/>
              <w:bottom w:type="dxa" w:w="100"/>
              <w:right w:type="dxa" w:w="140"/>
            </w:tcMar>
          </w:tcPr>
          <w:p>
            <w:r>
              <w:rPr>
                <w:rFonts w:ascii="Arial" w:cs="Arial" w:eastAsia="Arial" w:hAnsi="Arial"/>
                <w:color w:val="C23B2E"/>
                <w:sz w:val="19"/>
                <w:szCs w:val="19"/>
              </w:rPr>
              <w:t xml:space="preserve">Great advisors always make sure clients understand their investment process!</w:t>
            </w:r>
          </w:p>
        </w:tc>
      </w:tr>
    </w:tbl>
    <w:p>
      <w:r>
        <w:br w:type="page"/>
      </w:r>
    </w:p>
    <w:p>
      <w:pPr>
        <w:pStyle w:val="Heading2"/>
      </w:pPr>
      <w:r>
        <w:t xml:space="preserve">4. Diagnostic Narrative</w:t>
      </w:r>
    </w:p>
    <w:p>
      <w:pPr>
        <w:spacing w:after="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0D7E0" w:sz="1"/>
              <w:left w:val="single" w:color="1B5E7B" w:sz="8"/>
              <w:bottom w:val="single" w:color="D0D7E0" w:sz="1"/>
              <w:right w:val="single" w:color="D0D7E0" w:sz="1"/>
            </w:tcBorders>
            <w:shd w:fill="EBF4F8" w:val="clear"/>
            <w:tcMar>
              <w:top w:type="dxa" w:w="120"/>
              <w:left w:type="dxa" w:w="200"/>
              <w:bottom w:type="dxa" w:w="120"/>
              <w:right w:type="dxa" w:w="200"/>
            </w:tcMar>
          </w:tcPr>
          <w:p>
            <w:pPr>
              <w:spacing w:after="40"/>
            </w:pPr>
            <w:r>
              <w:rPr>
                <w:rFonts w:ascii="Arial" w:cs="Arial" w:eastAsia="Arial" w:hAnsi="Arial"/>
                <w:b/>
                <w:bCs/>
                <w:color w:val="1B5E7B"/>
                <w:spacing w:val="60"/>
                <w:sz w:val="16"/>
                <w:szCs w:val="16"/>
              </w:rPr>
              <w:t xml:space="preserve">VOICE</w:t>
            </w:r>
          </w:p>
          <w:p>
            <w:pPr>
              <w:spacing w:after="0"/>
            </w:pPr>
            <w:r>
              <w:rPr>
                <w:rFonts w:ascii="Arial" w:cs="Arial" w:eastAsia="Arial" w:hAnsi="Arial"/>
                <w:color w:val="3D4659"/>
                <w:sz w:val="21"/>
                <w:szCs w:val="21"/>
              </w:rPr>
              <w:t xml:space="preserve">Trusted advisor. Direct, warm, honest. The tone of a colleague who respects you enough to tell you the truth clearly. Not clinical (that’s observation). Not motivational (that’s recommendation). This is the “so what” voice.</w:t>
            </w:r>
          </w:p>
        </w:tc>
      </w:tr>
    </w:tbl>
    <w:p>
      <w:pPr>
        <w:spacing w:after="80"/>
      </w:pPr>
    </w:p>
    <w:p>
      <w:pPr>
        <w:pStyle w:val="Heading3"/>
      </w:pPr>
      <w:r>
        <w:t xml:space="preserve">Structural Requirements</w:t>
      </w:r>
    </w:p>
    <w:p>
      <w:pPr>
        <w:pStyle w:val="ListParagraph"/>
        <w:numPr>
          <w:ilvl w:val="0"/>
          <w:numId w:val="2"/>
        </w:numPr>
        <w:spacing w:after="80"/>
      </w:pPr>
      <w:r>
        <w:rPr>
          <w:rFonts w:ascii="Arial" w:cs="Arial" w:eastAsia="Arial" w:hAnsi="Arial"/>
          <w:b/>
          <w:bCs/>
          <w:color w:val="0E3A4D"/>
          <w:sz w:val="22"/>
          <w:szCs w:val="22"/>
        </w:rPr>
        <w:t xml:space="preserve">Must connect score to business impact. </w:t>
      </w:r>
      <w:r>
        <w:rPr>
          <w:rFonts w:ascii="Arial" w:cs="Arial" w:eastAsia="Arial" w:hAnsi="Arial"/>
          <w:color w:val="3D4659"/>
          <w:sz w:val="22"/>
          <w:szCs w:val="22"/>
        </w:rPr>
        <w:t xml:space="preserve">Not “your fee score is low” but “clients can’t explain what they’re paying for — this is where competitors win on perception.”</w:t>
      </w:r>
    </w:p>
    <w:p>
      <w:pPr>
        <w:pStyle w:val="ListParagraph"/>
        <w:numPr>
          <w:ilvl w:val="0"/>
          <w:numId w:val="2"/>
        </w:numPr>
        <w:spacing w:after="80"/>
      </w:pPr>
      <w:r>
        <w:rPr>
          <w:rFonts w:ascii="Arial" w:cs="Arial" w:eastAsia="Arial" w:hAnsi="Arial"/>
          <w:b/>
          <w:bCs/>
          <w:color w:val="0E3A4D"/>
          <w:sz w:val="22"/>
          <w:szCs w:val="22"/>
        </w:rPr>
        <w:t xml:space="preserve">Must be 1–2 sentences. </w:t>
      </w:r>
      <w:r>
        <w:rPr>
          <w:rFonts w:ascii="Arial" w:cs="Arial" w:eastAsia="Arial" w:hAnsi="Arial"/>
          <w:color w:val="3D4659"/>
          <w:sz w:val="22"/>
          <w:szCs w:val="22"/>
        </w:rPr>
        <w:t xml:space="preserve">The diagnostic is a punch, not a paragraph. Every word earns its place.</w:t>
      </w:r>
    </w:p>
    <w:p>
      <w:pPr>
        <w:pStyle w:val="ListParagraph"/>
        <w:numPr>
          <w:ilvl w:val="0"/>
          <w:numId w:val="2"/>
        </w:numPr>
        <w:spacing w:after="80"/>
      </w:pPr>
      <w:r>
        <w:rPr>
          <w:rFonts w:ascii="Arial" w:cs="Arial" w:eastAsia="Arial" w:hAnsi="Arial"/>
          <w:b/>
          <w:bCs/>
          <w:color w:val="0E3A4D"/>
          <w:sz w:val="22"/>
          <w:szCs w:val="22"/>
        </w:rPr>
        <w:t xml:space="preserve">Must balance validation with honesty. </w:t>
      </w:r>
      <w:r>
        <w:rPr>
          <w:rFonts w:ascii="Arial" w:cs="Arial" w:eastAsia="Arial" w:hAnsi="Arial"/>
          <w:color w:val="3D4659"/>
          <w:sz w:val="22"/>
          <w:szCs w:val="22"/>
        </w:rPr>
        <w:t xml:space="preserve">Even At Risk narratives acknowledge what the advisor is doing right before identifying the gap. “Your risk framework gives clients confidence — the opportunity is making it visible.”</w:t>
      </w:r>
    </w:p>
    <w:p>
      <w:pPr>
        <w:pStyle w:val="ListParagraph"/>
        <w:numPr>
          <w:ilvl w:val="0"/>
          <w:numId w:val="2"/>
        </w:numPr>
        <w:spacing w:after="80"/>
      </w:pPr>
      <w:r>
        <w:rPr>
          <w:rFonts w:ascii="Arial" w:cs="Arial" w:eastAsia="Arial" w:hAnsi="Arial"/>
          <w:b/>
          <w:bCs/>
          <w:color w:val="0E3A4D"/>
          <w:sz w:val="22"/>
          <w:szCs w:val="22"/>
        </w:rPr>
        <w:t xml:space="preserve">Must never blame or condescend. </w:t>
      </w:r>
      <w:r>
        <w:rPr>
          <w:rFonts w:ascii="Arial" w:cs="Arial" w:eastAsia="Arial" w:hAnsi="Arial"/>
          <w:color w:val="3D4659"/>
          <w:sz w:val="22"/>
          <w:szCs w:val="22"/>
        </w:rPr>
        <w:t xml:space="preserve">The advisor is the client. The diagnostic respects their expertise while surfacing blind spots they genuinely couldn’t see without external evaluation.</w:t>
      </w:r>
    </w:p>
    <w:p>
      <w:pPr>
        <w:spacing w:after="60"/>
      </w:pPr>
    </w:p>
    <w:p>
      <w:pPr>
        <w:pStyle w:val="Heading3"/>
      </w:pPr>
      <w:r>
        <w:t xml:space="preserve">Band-Adaptive Tone Shifts</w:t>
      </w:r>
    </w:p>
    <w:p>
      <w:pPr>
        <w:spacing w:after="40"/>
      </w:pPr>
    </w:p>
    <w:p>
      <w:pPr>
        <w:pStyle w:val="ListParagraph"/>
        <w:numPr>
          <w:ilvl w:val="0"/>
          <w:numId w:val="2"/>
        </w:numPr>
        <w:spacing w:after="80"/>
      </w:pPr>
      <w:r>
        <w:rPr>
          <w:rFonts w:ascii="Arial" w:cs="Arial" w:eastAsia="Arial" w:hAnsi="Arial"/>
          <w:b/>
          <w:bCs/>
          <w:color w:val="1A7A45"/>
          <w:sz w:val="22"/>
          <w:szCs w:val="22"/>
        </w:rPr>
        <w:t xml:space="preserve">Competitive: </w:t>
      </w:r>
      <w:r>
        <w:rPr>
          <w:rFonts w:ascii="Arial" w:cs="Arial" w:eastAsia="Arial" w:hAnsi="Arial"/>
          <w:color w:val="3D4659"/>
          <w:sz w:val="22"/>
          <w:szCs w:val="22"/>
        </w:rPr>
        <w:t xml:space="preserve">Celebratory + activating. “This is among the most rigorous we’ve assessed — clients notice this and talk about it.”</w:t>
      </w:r>
    </w:p>
    <w:p>
      <w:pPr>
        <w:pStyle w:val="ListParagraph"/>
        <w:numPr>
          <w:ilvl w:val="0"/>
          <w:numId w:val="2"/>
        </w:numPr>
        <w:spacing w:after="80"/>
      </w:pPr>
      <w:r>
        <w:rPr>
          <w:rFonts w:ascii="Arial" w:cs="Arial" w:eastAsia="Arial" w:hAnsi="Arial"/>
          <w:b/>
          <w:bCs/>
          <w:color w:val="3A7AB8"/>
          <w:sz w:val="22"/>
          <w:szCs w:val="22"/>
        </w:rPr>
        <w:t xml:space="preserve">Good: </w:t>
      </w:r>
      <w:r>
        <w:rPr>
          <w:rFonts w:ascii="Arial" w:cs="Arial" w:eastAsia="Arial" w:hAnsi="Arial"/>
          <w:color w:val="3D4659"/>
          <w:sz w:val="22"/>
          <w:szCs w:val="22"/>
        </w:rPr>
        <w:t xml:space="preserve">Validating + directional. “Your framework gives clients confidence — the opportunity is making the process more visible.”</w:t>
      </w:r>
    </w:p>
    <w:p>
      <w:pPr>
        <w:pStyle w:val="ListParagraph"/>
        <w:numPr>
          <w:ilvl w:val="0"/>
          <w:numId w:val="2"/>
        </w:numPr>
        <w:spacing w:after="80"/>
      </w:pPr>
      <w:r>
        <w:rPr>
          <w:rFonts w:ascii="Arial" w:cs="Arial" w:eastAsia="Arial" w:hAnsi="Arial"/>
          <w:b/>
          <w:bCs/>
          <w:color w:val="C6973B"/>
          <w:sz w:val="22"/>
          <w:szCs w:val="22"/>
        </w:rPr>
        <w:t xml:space="preserve">Needs Work: </w:t>
      </w:r>
      <w:r>
        <w:rPr>
          <w:rFonts w:ascii="Arial" w:cs="Arial" w:eastAsia="Arial" w:hAnsi="Arial"/>
          <w:color w:val="3D4659"/>
          <w:sz w:val="22"/>
          <w:szCs w:val="22"/>
        </w:rPr>
        <w:t xml:space="preserve">Honest + constructive. “The foundation is functional but not yet a source of client confidence.”</w:t>
      </w:r>
    </w:p>
    <w:p>
      <w:pPr>
        <w:pStyle w:val="ListParagraph"/>
        <w:numPr>
          <w:ilvl w:val="0"/>
          <w:numId w:val="2"/>
        </w:numPr>
        <w:spacing w:after="80"/>
      </w:pPr>
      <w:r>
        <w:rPr>
          <w:rFonts w:ascii="Arial" w:cs="Arial" w:eastAsia="Arial" w:hAnsi="Arial"/>
          <w:b/>
          <w:bCs/>
          <w:color w:val="C23B2E"/>
          <w:sz w:val="22"/>
          <w:szCs w:val="22"/>
        </w:rPr>
        <w:t xml:space="preserve">At Risk: </w:t>
      </w:r>
      <w:r>
        <w:rPr>
          <w:rFonts w:ascii="Arial" w:cs="Arial" w:eastAsia="Arial" w:hAnsi="Arial"/>
          <w:color w:val="3D4659"/>
          <w:sz w:val="22"/>
          <w:szCs w:val="22"/>
        </w:rPr>
        <w:t xml:space="preserve">Urgent + empathetic. “Clients can’t yet explain what they’re paying for — this is where competitors win on perception.”</w:t>
      </w:r>
    </w:p>
    <w:p>
      <w:r>
        <w:br w:type="page"/>
      </w:r>
    </w:p>
    <w:p>
      <w:pPr>
        <w:pStyle w:val="Heading2"/>
      </w:pPr>
      <w:r>
        <w:t xml:space="preserve">5. Recommendation</w:t>
      </w:r>
    </w:p>
    <w:p>
      <w:pPr>
        <w:spacing w:after="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0D7E0" w:sz="1"/>
              <w:left w:val="single" w:color="1B5E7B" w:sz="8"/>
              <w:bottom w:val="single" w:color="D0D7E0" w:sz="1"/>
              <w:right w:val="single" w:color="D0D7E0" w:sz="1"/>
            </w:tcBorders>
            <w:shd w:fill="EBF4F8" w:val="clear"/>
            <w:tcMar>
              <w:top w:type="dxa" w:w="120"/>
              <w:left w:type="dxa" w:w="200"/>
              <w:bottom w:type="dxa" w:w="120"/>
              <w:right w:type="dxa" w:w="200"/>
            </w:tcMar>
          </w:tcPr>
          <w:p>
            <w:pPr>
              <w:spacing w:after="40"/>
            </w:pPr>
            <w:r>
              <w:rPr>
                <w:rFonts w:ascii="Arial" w:cs="Arial" w:eastAsia="Arial" w:hAnsi="Arial"/>
                <w:b/>
                <w:bCs/>
                <w:color w:val="1B5E7B"/>
                <w:spacing w:val="60"/>
                <w:sz w:val="16"/>
                <w:szCs w:val="16"/>
              </w:rPr>
              <w:t xml:space="preserve">VOICE</w:t>
            </w:r>
          </w:p>
          <w:p>
            <w:pPr>
              <w:spacing w:after="0"/>
            </w:pPr>
            <w:r>
              <w:rPr>
                <w:rFonts w:ascii="Arial" w:cs="Arial" w:eastAsia="Arial" w:hAnsi="Arial"/>
                <w:color w:val="3D4659"/>
                <w:sz w:val="21"/>
                <w:szCs w:val="21"/>
              </w:rPr>
              <w:t xml:space="preserve">Strategic consultant. Forward-looking, specific, grounded in evidence. The tone of someone who has seen what works and is sharing a specific suggestion — not a menu of options.</w:t>
            </w:r>
          </w:p>
        </w:tc>
      </w:tr>
    </w:tbl>
    <w:p>
      <w:pPr>
        <w:spacing w:after="80"/>
      </w:pPr>
    </w:p>
    <w:p>
      <w:pPr>
        <w:pStyle w:val="Heading3"/>
      </w:pPr>
      <w:r>
        <w:t xml:space="preserve">Structural Requirements</w:t>
      </w:r>
    </w:p>
    <w:p>
      <w:pPr>
        <w:pStyle w:val="ListParagraph"/>
        <w:numPr>
          <w:ilvl w:val="0"/>
          <w:numId w:val="2"/>
        </w:numPr>
        <w:spacing w:after="80"/>
      </w:pPr>
      <w:r>
        <w:rPr>
          <w:rFonts w:ascii="Arial" w:cs="Arial" w:eastAsia="Arial" w:hAnsi="Arial"/>
          <w:b/>
          <w:bCs/>
          <w:color w:val="0E3A4D"/>
          <w:sz w:val="22"/>
          <w:szCs w:val="22"/>
        </w:rPr>
        <w:t xml:space="preserve">Must suggest one specific action, not a list. </w:t>
      </w:r>
      <w:r>
        <w:rPr>
          <w:rFonts w:ascii="Arial" w:cs="Arial" w:eastAsia="Arial" w:hAnsi="Arial"/>
          <w:color w:val="3D4659"/>
          <w:sz w:val="22"/>
          <w:szCs w:val="22"/>
        </w:rPr>
        <w:t xml:space="preserve">The advisor should finish reading and know exactly what to try first. “Create a one-page value summary that maps each service to its fee component.”</w:t>
      </w:r>
    </w:p>
    <w:p>
      <w:pPr>
        <w:pStyle w:val="ListParagraph"/>
        <w:numPr>
          <w:ilvl w:val="0"/>
          <w:numId w:val="2"/>
        </w:numPr>
        <w:spacing w:after="80"/>
      </w:pPr>
      <w:r>
        <w:rPr>
          <w:rFonts w:ascii="Arial" w:cs="Arial" w:eastAsia="Arial" w:hAnsi="Arial"/>
          <w:b/>
          <w:bCs/>
          <w:color w:val="0E3A4D"/>
          <w:sz w:val="22"/>
          <w:szCs w:val="22"/>
        </w:rPr>
        <w:t xml:space="preserve">Must include a measurable outcome when possible. </w:t>
      </w:r>
      <w:r>
        <w:rPr>
          <w:rFonts w:ascii="Arial" w:cs="Arial" w:eastAsia="Arial" w:hAnsi="Arial"/>
          <w:color w:val="3D4659"/>
          <w:sz w:val="22"/>
          <w:szCs w:val="22"/>
        </w:rPr>
        <w:t xml:space="preserve">“Advisors who introduced this saw fee comprehension scores improve by an average of 31 points within two quarters.”</w:t>
      </w:r>
    </w:p>
    <w:p>
      <w:pPr>
        <w:pStyle w:val="ListParagraph"/>
        <w:numPr>
          <w:ilvl w:val="0"/>
          <w:numId w:val="2"/>
        </w:numPr>
        <w:spacing w:after="80"/>
      </w:pPr>
      <w:r>
        <w:rPr>
          <w:rFonts w:ascii="Arial" w:cs="Arial" w:eastAsia="Arial" w:hAnsi="Arial"/>
          <w:b/>
          <w:bCs/>
          <w:color w:val="0E3A4D"/>
          <w:sz w:val="22"/>
          <w:szCs w:val="22"/>
        </w:rPr>
        <w:t xml:space="preserve">Must be calibrated to the advisor’s band. </w:t>
      </w:r>
      <w:r>
        <w:rPr>
          <w:rFonts w:ascii="Arial" w:cs="Arial" w:eastAsia="Arial" w:hAnsi="Arial"/>
          <w:color w:val="3D4659"/>
          <w:sz w:val="22"/>
          <w:szCs w:val="22"/>
        </w:rPr>
        <w:t xml:space="preserve">Don’t tell a Competitive advisor to do basics. Don’t overwhelm an At Risk advisor with optimization strategies.</w:t>
      </w:r>
    </w:p>
    <w:p>
      <w:pPr>
        <w:pStyle w:val="ListParagraph"/>
        <w:numPr>
          <w:ilvl w:val="0"/>
          <w:numId w:val="2"/>
        </w:numPr>
        <w:spacing w:after="80"/>
      </w:pPr>
      <w:r>
        <w:rPr>
          <w:rFonts w:ascii="Arial" w:cs="Arial" w:eastAsia="Arial" w:hAnsi="Arial"/>
          <w:b/>
          <w:bCs/>
          <w:color w:val="0E3A4D"/>
          <w:sz w:val="22"/>
          <w:szCs w:val="22"/>
        </w:rPr>
        <w:t xml:space="preserve">Must never be generic productivity advice. </w:t>
      </w:r>
      <w:r>
        <w:rPr>
          <w:rFonts w:ascii="Arial" w:cs="Arial" w:eastAsia="Arial" w:hAnsi="Arial"/>
          <w:color w:val="3D4659"/>
          <w:sz w:val="22"/>
          <w:szCs w:val="22"/>
        </w:rPr>
        <w:t xml:space="preserve">“Communicate more with your clients” fails. “Add a semi-annual what-if conversation walking clients through 2–3 market scenarios” passes.</w:t>
      </w:r>
    </w:p>
    <w:p>
      <w:pPr>
        <w:pStyle w:val="ListParagraph"/>
        <w:numPr>
          <w:ilvl w:val="0"/>
          <w:numId w:val="2"/>
        </w:numPr>
        <w:spacing w:after="80"/>
      </w:pPr>
      <w:r>
        <w:rPr>
          <w:rFonts w:ascii="Arial" w:cs="Arial" w:eastAsia="Arial" w:hAnsi="Arial"/>
          <w:b/>
          <w:bCs/>
          <w:color w:val="0E3A4D"/>
          <w:sz w:val="22"/>
          <w:szCs w:val="22"/>
        </w:rPr>
        <w:t xml:space="preserve">Must never use the word “consider.” </w:t>
      </w:r>
      <w:r>
        <w:rPr>
          <w:rFonts w:ascii="Arial" w:cs="Arial" w:eastAsia="Arial" w:hAnsi="Arial"/>
          <w:color w:val="3D4659"/>
          <w:sz w:val="22"/>
          <w:szCs w:val="22"/>
        </w:rPr>
        <w:t xml:space="preserve">“Consider” is hedge language that weakens the recommendation. Be direct: “Start with,” “Introduce,” “Create.”</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4060"/>
        <w:gridCol w:w="4060"/>
      </w:tblGrid>
      <w:tr>
        <w:tc>
          <w:tcPr>
            <w:tcW w:type="dxa" w:w="160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406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20"/>
                <w:szCs w:val="20"/>
              </w:rPr>
              <w:t xml:space="preserve">✓ Passes</w:t>
            </w:r>
          </w:p>
        </w:tc>
        <w:tc>
          <w:tcPr>
            <w:tcW w:type="dxa" w:w="406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20"/>
                <w:szCs w:val="20"/>
              </w:rPr>
              <w:t xml:space="preserve">✗ Fails</w:t>
            </w:r>
          </w:p>
        </w:tc>
      </w:tr>
      <w:tr>
        <w:tc>
          <w:tcPr>
            <w:tcW w:type="dxa" w:w="16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0E3A4D"/>
                <w:sz w:val="20"/>
                <w:szCs w:val="20"/>
              </w:rPr>
              <w:t xml:space="preserve">Specific action</w:t>
            </w:r>
          </w:p>
        </w:tc>
        <w:tc>
          <w:tcPr>
            <w:tcW w:type="dxa" w:w="4060"/>
            <w:tcBorders>
              <w:top w:val="single" w:color="D0D7E0" w:sz="1"/>
              <w:left w:val="single" w:color="D0D7E0" w:sz="1"/>
              <w:bottom w:val="single" w:color="D0D7E0" w:sz="1"/>
              <w:right w:val="single" w:color="D0D7E0" w:sz="1"/>
            </w:tcBorders>
            <w:shd w:fill="EDFAF2" w:val="clear"/>
            <w:tcMar>
              <w:top w:type="dxa" w:w="100"/>
              <w:left w:type="dxa" w:w="140"/>
              <w:bottom w:type="dxa" w:w="100"/>
              <w:right w:type="dxa" w:w="140"/>
            </w:tcMar>
          </w:tcPr>
          <w:p>
            <w:r>
              <w:rPr>
                <w:rFonts w:ascii="Arial" w:cs="Arial" w:eastAsia="Arial" w:hAnsi="Arial"/>
                <w:color w:val="1A7A45"/>
                <w:sz w:val="19"/>
                <w:szCs w:val="19"/>
              </w:rPr>
              <w:t xml:space="preserve">Create a one-page value summary that maps each service to its fee component.</w:t>
            </w:r>
          </w:p>
        </w:tc>
        <w:tc>
          <w:tcPr>
            <w:tcW w:type="dxa" w:w="4060"/>
            <w:tcBorders>
              <w:top w:val="single" w:color="D0D7E0" w:sz="1"/>
              <w:left w:val="single" w:color="D0D7E0" w:sz="1"/>
              <w:bottom w:val="single" w:color="D0D7E0" w:sz="1"/>
              <w:right w:val="single" w:color="D0D7E0" w:sz="1"/>
            </w:tcBorders>
            <w:shd w:fill="FDF0EF" w:val="clear"/>
            <w:tcMar>
              <w:top w:type="dxa" w:w="100"/>
              <w:left w:type="dxa" w:w="140"/>
              <w:bottom w:type="dxa" w:w="100"/>
              <w:right w:type="dxa" w:w="140"/>
            </w:tcMar>
          </w:tcPr>
          <w:p>
            <w:r>
              <w:rPr>
                <w:rFonts w:ascii="Arial" w:cs="Arial" w:eastAsia="Arial" w:hAnsi="Arial"/>
                <w:color w:val="C23B2E"/>
                <w:sz w:val="19"/>
                <w:szCs w:val="19"/>
              </w:rPr>
              <w:t xml:space="preserve">Consider improving your fee communication with clients.</w:t>
            </w:r>
          </w:p>
        </w:tc>
      </w:tr>
      <w:tr>
        <w:tc>
          <w:tcPr>
            <w:tcW w:type="dxa" w:w="16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0E3A4D"/>
                <w:sz w:val="20"/>
                <w:szCs w:val="20"/>
              </w:rPr>
              <w:t xml:space="preserve">Outcome</w:t>
            </w:r>
          </w:p>
        </w:tc>
        <w:tc>
          <w:tcPr>
            <w:tcW w:type="dxa" w:w="4060"/>
            <w:tcBorders>
              <w:top w:val="single" w:color="D0D7E0" w:sz="1"/>
              <w:left w:val="single" w:color="D0D7E0" w:sz="1"/>
              <w:bottom w:val="single" w:color="D0D7E0" w:sz="1"/>
              <w:right w:val="single" w:color="D0D7E0" w:sz="1"/>
            </w:tcBorders>
            <w:shd w:fill="EDFAF2" w:val="clear"/>
            <w:tcMar>
              <w:top w:type="dxa" w:w="100"/>
              <w:left w:type="dxa" w:w="140"/>
              <w:bottom w:type="dxa" w:w="100"/>
              <w:right w:type="dxa" w:w="140"/>
            </w:tcMar>
          </w:tcPr>
          <w:p>
            <w:r>
              <w:rPr>
                <w:rFonts w:ascii="Arial" w:cs="Arial" w:eastAsia="Arial" w:hAnsi="Arial"/>
                <w:color w:val="1A7A45"/>
                <w:sz w:val="19"/>
                <w:szCs w:val="19"/>
              </w:rPr>
              <w:t xml:space="preserve">Advisors who introduced this saw fee comprehension improve by 31 points.</w:t>
            </w:r>
          </w:p>
        </w:tc>
        <w:tc>
          <w:tcPr>
            <w:tcW w:type="dxa" w:w="4060"/>
            <w:tcBorders>
              <w:top w:val="single" w:color="D0D7E0" w:sz="1"/>
              <w:left w:val="single" w:color="D0D7E0" w:sz="1"/>
              <w:bottom w:val="single" w:color="D0D7E0" w:sz="1"/>
              <w:right w:val="single" w:color="D0D7E0" w:sz="1"/>
            </w:tcBorders>
            <w:shd w:fill="FDF0EF" w:val="clear"/>
            <w:tcMar>
              <w:top w:type="dxa" w:w="100"/>
              <w:left w:type="dxa" w:w="140"/>
              <w:bottom w:type="dxa" w:w="100"/>
              <w:right w:type="dxa" w:w="140"/>
            </w:tcMar>
          </w:tcPr>
          <w:p>
            <w:r>
              <w:rPr>
                <w:rFonts w:ascii="Arial" w:cs="Arial" w:eastAsia="Arial" w:hAnsi="Arial"/>
                <w:color w:val="C23B2E"/>
                <w:sz w:val="19"/>
                <w:szCs w:val="19"/>
              </w:rPr>
              <w:t xml:space="preserve">This could lead to meaningful improvements in client relationships.</w:t>
            </w:r>
          </w:p>
        </w:tc>
      </w:tr>
      <w:tr>
        <w:tc>
          <w:tcPr>
            <w:tcW w:type="dxa" w:w="16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0E3A4D"/>
                <w:sz w:val="20"/>
                <w:szCs w:val="20"/>
              </w:rPr>
              <w:t xml:space="preserve">Band-calibrated</w:t>
            </w:r>
          </w:p>
        </w:tc>
        <w:tc>
          <w:tcPr>
            <w:tcW w:type="dxa" w:w="4060"/>
            <w:tcBorders>
              <w:top w:val="single" w:color="D0D7E0" w:sz="1"/>
              <w:left w:val="single" w:color="D0D7E0" w:sz="1"/>
              <w:bottom w:val="single" w:color="D0D7E0" w:sz="1"/>
              <w:right w:val="single" w:color="D0D7E0" w:sz="1"/>
            </w:tcBorders>
            <w:shd w:fill="EDFAF2" w:val="clear"/>
            <w:tcMar>
              <w:top w:type="dxa" w:w="100"/>
              <w:left w:type="dxa" w:w="140"/>
              <w:bottom w:type="dxa" w:w="100"/>
              <w:right w:type="dxa" w:w="140"/>
            </w:tcMar>
          </w:tcPr>
          <w:p>
            <w:r>
              <w:rPr>
                <w:rFonts w:ascii="Arial" w:cs="Arial" w:eastAsia="Arial" w:hAnsi="Arial"/>
                <w:color w:val="1A7A45"/>
                <w:sz w:val="19"/>
                <w:szCs w:val="19"/>
              </w:rPr>
              <w:t xml:space="preserve">At Risk: Start with fee transparency during onboarding. Competitive: Formalize your fee conversation into a signature onboarding experience.</w:t>
            </w:r>
          </w:p>
        </w:tc>
        <w:tc>
          <w:tcPr>
            <w:tcW w:type="dxa" w:w="4060"/>
            <w:tcBorders>
              <w:top w:val="single" w:color="D0D7E0" w:sz="1"/>
              <w:left w:val="single" w:color="D0D7E0" w:sz="1"/>
              <w:bottom w:val="single" w:color="D0D7E0" w:sz="1"/>
              <w:right w:val="single" w:color="D0D7E0" w:sz="1"/>
            </w:tcBorders>
            <w:shd w:fill="FDF0EF" w:val="clear"/>
            <w:tcMar>
              <w:top w:type="dxa" w:w="100"/>
              <w:left w:type="dxa" w:w="140"/>
              <w:bottom w:type="dxa" w:w="100"/>
              <w:right w:type="dxa" w:w="140"/>
            </w:tcMar>
          </w:tcPr>
          <w:p>
            <w:r>
              <w:rPr>
                <w:rFonts w:ascii="Arial" w:cs="Arial" w:eastAsia="Arial" w:hAnsi="Arial"/>
                <w:color w:val="C23B2E"/>
                <w:sz w:val="19"/>
                <w:szCs w:val="19"/>
              </w:rPr>
              <w:t xml:space="preserve">Improve how you discuss fees. (same for all bands)</w:t>
            </w:r>
          </w:p>
        </w:tc>
      </w:tr>
      <w:tr>
        <w:tc>
          <w:tcPr>
            <w:tcW w:type="dxa" w:w="16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0E3A4D"/>
                <w:sz w:val="20"/>
                <w:szCs w:val="20"/>
              </w:rPr>
              <w:t xml:space="preserve">Direct language</w:t>
            </w:r>
          </w:p>
        </w:tc>
        <w:tc>
          <w:tcPr>
            <w:tcW w:type="dxa" w:w="4060"/>
            <w:tcBorders>
              <w:top w:val="single" w:color="D0D7E0" w:sz="1"/>
              <w:left w:val="single" w:color="D0D7E0" w:sz="1"/>
              <w:bottom w:val="single" w:color="D0D7E0" w:sz="1"/>
              <w:right w:val="single" w:color="D0D7E0" w:sz="1"/>
            </w:tcBorders>
            <w:shd w:fill="EDFAF2" w:val="clear"/>
            <w:tcMar>
              <w:top w:type="dxa" w:w="100"/>
              <w:left w:type="dxa" w:w="140"/>
              <w:bottom w:type="dxa" w:w="100"/>
              <w:right w:type="dxa" w:w="140"/>
            </w:tcMar>
          </w:tcPr>
          <w:p>
            <w:r>
              <w:rPr>
                <w:rFonts w:ascii="Arial" w:cs="Arial" w:eastAsia="Arial" w:hAnsi="Arial"/>
                <w:color w:val="1A7A45"/>
                <w:sz w:val="19"/>
                <w:szCs w:val="19"/>
              </w:rPr>
              <w:t xml:space="preserve">Start with a semi-annual what-if conversation.</w:t>
            </w:r>
          </w:p>
        </w:tc>
        <w:tc>
          <w:tcPr>
            <w:tcW w:type="dxa" w:w="4060"/>
            <w:tcBorders>
              <w:top w:val="single" w:color="D0D7E0" w:sz="1"/>
              <w:left w:val="single" w:color="D0D7E0" w:sz="1"/>
              <w:bottom w:val="single" w:color="D0D7E0" w:sz="1"/>
              <w:right w:val="single" w:color="D0D7E0" w:sz="1"/>
            </w:tcBorders>
            <w:shd w:fill="FDF0EF" w:val="clear"/>
            <w:tcMar>
              <w:top w:type="dxa" w:w="100"/>
              <w:left w:type="dxa" w:w="140"/>
              <w:bottom w:type="dxa" w:w="100"/>
              <w:right w:type="dxa" w:w="140"/>
            </w:tcMar>
          </w:tcPr>
          <w:p>
            <w:r>
              <w:rPr>
                <w:rFonts w:ascii="Arial" w:cs="Arial" w:eastAsia="Arial" w:hAnsi="Arial"/>
                <w:color w:val="C23B2E"/>
                <w:sz w:val="19"/>
                <w:szCs w:val="19"/>
              </w:rPr>
              <w:t xml:space="preserve">You might want to consider having more conversations about risk scenarios.</w:t>
            </w:r>
          </w:p>
        </w:tc>
      </w:tr>
    </w:tbl>
    <w:p>
      <w:r>
        <w:br w:type="page"/>
      </w:r>
    </w:p>
    <w:p>
      <w:pPr>
        <w:pStyle w:val="Heading1"/>
      </w:pPr>
      <w:r>
        <w:t xml:space="preserve">AI Prompt Architecture</w:t>
      </w:r>
    </w:p>
    <w:p>
      <w:pPr>
        <w:spacing w:after="160"/>
      </w:pPr>
      <w:r>
        <w:rPr>
          <w:rFonts w:ascii="Arial" w:cs="Arial" w:eastAsia="Arial" w:hAnsi="Arial"/>
          <w:color w:val="3D4659"/>
          <w:sz w:val="22"/>
          <w:szCs w:val="22"/>
        </w:rPr>
        <w:t xml:space="preserve">When generating intelligence content, the AI should be given a structured prompt that includes the repository root, the target band, and the relevant guardrails. The following template ensures consistent output across all treatment types.</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0D7E0" w:sz="1"/>
              <w:left w:val="single" w:color="6E7A8F" w:sz="8"/>
              <w:bottom w:val="single" w:color="D0D7E0" w:sz="1"/>
              <w:right w:val="single" w:color="D0D7E0" w:sz="1"/>
            </w:tcBorders>
            <w:shd w:fill="F5F7FA" w:val="clear"/>
            <w:tcMar>
              <w:top w:type="dxa" w:w="120"/>
              <w:left w:type="dxa" w:w="200"/>
              <w:bottom w:type="dxa" w:w="120"/>
              <w:right w:type="dxa" w:w="200"/>
            </w:tcMar>
          </w:tcPr>
          <w:p>
            <w:pPr>
              <w:spacing w:after="60"/>
            </w:pPr>
            <w:r>
              <w:rPr>
                <w:rFonts w:ascii="Arial" w:cs="Arial" w:eastAsia="Arial" w:hAnsi="Arial"/>
                <w:b/>
                <w:bCs/>
                <w:color w:val="0E3A4D"/>
                <w:spacing w:val="40"/>
                <w:sz w:val="16"/>
                <w:szCs w:val="16"/>
              </w:rPr>
              <w:t xml:space="preserve">PROMPT TEMPLATE FOR BAND-ADAPTIVE GENERATION</w:t>
            </w:r>
          </w:p>
          <w:p>
            <w:pPr>
              <w:spacing w:after="80"/>
            </w:pPr>
            <w:r>
              <w:rPr>
                <w:rFonts w:ascii="Arial" w:cs="Arial" w:eastAsia="Arial" w:hAnsi="Arial"/>
                <w:color w:val="3D4659"/>
                <w:sz w:val="20"/>
                <w:szCs w:val="20"/>
              </w:rPr>
              <w:t xml:space="preserve">You are generating [TREATMENT TYPE] content for the [MODULE NAME] module at the [BAND] performance level.</w:t>
            </w:r>
          </w:p>
          <w:p>
            <w:pPr>
              <w:spacing w:after="80"/>
            </w:pPr>
            <w:r>
              <w:rPr>
                <w:rFonts w:ascii="Arial" w:cs="Arial" w:eastAsia="Arial" w:hAnsi="Arial"/>
                <w:b/>
                <w:bCs/>
                <w:color w:val="6E7A8F"/>
                <w:sz w:val="18"/>
                <w:szCs w:val="18"/>
              </w:rPr>
              <w:t xml:space="preserve">ROOT CONTENT (quality benchmark):</w:t>
            </w:r>
          </w:p>
          <w:p>
            <w:pPr>
              <w:spacing w:after="80"/>
            </w:pPr>
            <w:r>
              <w:rPr>
                <w:rFonts w:ascii="Arial" w:cs="Arial" w:eastAsia="Arial" w:hAnsi="Arial"/>
                <w:i/>
                <w:iCs/>
                <w:color w:val="6E7A8F"/>
                <w:sz w:val="20"/>
                <w:szCs w:val="20"/>
              </w:rPr>
              <w:t xml:space="preserve">[Insert root from repository]</w:t>
            </w:r>
          </w:p>
          <w:p>
            <w:pPr>
              <w:spacing w:after="80"/>
            </w:pPr>
            <w:r>
              <w:rPr>
                <w:rFonts w:ascii="Arial" w:cs="Arial" w:eastAsia="Arial" w:hAnsi="Arial"/>
                <w:b/>
                <w:bCs/>
                <w:color w:val="6E7A8F"/>
                <w:sz w:val="18"/>
                <w:szCs w:val="18"/>
              </w:rPr>
              <w:t xml:space="preserve">CONSTRAINTS:</w:t>
            </w:r>
          </w:p>
          <w:p>
            <w:pPr>
              <w:spacing w:after="60"/>
            </w:pPr>
            <w:r>
              <w:rPr>
                <w:rFonts w:ascii="Arial" w:cs="Arial" w:eastAsia="Arial" w:hAnsi="Arial"/>
                <w:color w:val="3D4659"/>
                <w:sz w:val="20"/>
                <w:szCs w:val="20"/>
              </w:rPr>
              <w:t xml:space="preserve">• [Insert structural requirements for this treatment type]</w:t>
            </w:r>
          </w:p>
          <w:p>
            <w:pPr>
              <w:spacing w:after="60"/>
            </w:pPr>
            <w:r>
              <w:rPr>
                <w:rFonts w:ascii="Arial" w:cs="Arial" w:eastAsia="Arial" w:hAnsi="Arial"/>
                <w:color w:val="3D4659"/>
                <w:sz w:val="20"/>
                <w:szCs w:val="20"/>
              </w:rPr>
              <w:t xml:space="preserve">• [Insert voice description for this treatment type]</w:t>
            </w:r>
          </w:p>
          <w:p>
            <w:pPr>
              <w:spacing w:after="60"/>
            </w:pPr>
            <w:r>
              <w:rPr>
                <w:rFonts w:ascii="Arial" w:cs="Arial" w:eastAsia="Arial" w:hAnsi="Arial"/>
                <w:color w:val="3D4659"/>
                <w:sz w:val="20"/>
                <w:szCs w:val="20"/>
              </w:rPr>
              <w:t xml:space="preserve">• [Insert band-adaptive tone shift for target band]</w:t>
            </w:r>
          </w:p>
          <w:p>
            <w:pPr>
              <w:spacing w:after="60"/>
            </w:pPr>
            <w:r>
              <w:rPr>
                <w:rFonts w:ascii="Arial" w:cs="Arial" w:eastAsia="Arial" w:hAnsi="Arial"/>
                <w:color w:val="3D4659"/>
                <w:sz w:val="20"/>
                <w:szCs w:val="20"/>
              </w:rPr>
              <w:t xml:space="preserve">• Must pass the Real Advisor Test</w:t>
            </w:r>
          </w:p>
          <w:p>
            <w:pPr>
              <w:spacing w:after="60"/>
            </w:pPr>
            <w:r>
              <w:rPr>
                <w:rFonts w:ascii="Arial" w:cs="Arial" w:eastAsia="Arial" w:hAnsi="Arial"/>
                <w:color w:val="3D4659"/>
                <w:sz w:val="20"/>
                <w:szCs w:val="20"/>
              </w:rPr>
              <w:t xml:space="preserve">• Must not use any phrases from the Banned Phrases List</w:t>
            </w:r>
          </w:p>
          <w:p>
            <w:pPr>
              <w:spacing w:after="80"/>
            </w:pPr>
            <w:r>
              <w:rPr>
                <w:rFonts w:ascii="Arial" w:cs="Arial" w:eastAsia="Arial" w:hAnsi="Arial"/>
                <w:color w:val="3D4659"/>
                <w:sz w:val="20"/>
                <w:szCs w:val="20"/>
              </w:rPr>
              <w:t xml:space="preserve">GENERATE: A [BAND]-level variant that matches the specificity and tone of the root while adapting the content to reflect [BAND] performance characteristics.</w:t>
            </w:r>
          </w:p>
          <w:p>
            <w:pPr>
              <w:spacing w:after="0"/>
            </w:pPr>
            <w:r>
              <w:rPr>
                <w:rFonts w:ascii="Arial" w:cs="Arial" w:eastAsia="Arial" w:hAnsi="Arial"/>
                <w:b/>
                <w:bCs/>
                <w:color w:val="0E3A4D"/>
                <w:sz w:val="20"/>
                <w:szCs w:val="20"/>
              </w:rPr>
              <w:t xml:space="preserve">THEN VALIDATE: Check output against the validation table for this treatment type. If any criterion fails, revise before returning.</w:t>
            </w:r>
          </w:p>
        </w:tc>
      </w:tr>
    </w:tbl>
    <w:p>
      <w:pPr>
        <w:spacing w:after="160"/>
      </w:pPr>
    </w:p>
    <w:p>
      <w:pPr>
        <w:pStyle w:val="Heading1"/>
      </w:pPr>
      <w:r>
        <w:t xml:space="preserve">Validation Workflow</w:t>
      </w:r>
    </w:p>
    <w:p>
      <w:pPr>
        <w:spacing w:after="160"/>
      </w:pPr>
      <w:r>
        <w:rPr>
          <w:rFonts w:ascii="Arial" w:cs="Arial" w:eastAsia="Arial" w:hAnsi="Arial"/>
          <w:color w:val="3D4659"/>
          <w:sz w:val="22"/>
          <w:szCs w:val="22"/>
        </w:rPr>
        <w:t xml:space="preserve">Every piece of AI-generated content should pass through a three-gate validation before reaching the platform.</w:t>
      </w:r>
    </w:p>
    <w:p>
      <w:pPr>
        <w:spacing w:after="60"/>
      </w:pPr>
    </w:p>
    <w:p>
      <w:pPr>
        <w:pStyle w:val="Heading2"/>
      </w:pPr>
      <w:r>
        <w:t xml:space="preserve">Gate 1: Structural Pass</w:t>
      </w:r>
    </w:p>
    <w:p>
      <w:pPr>
        <w:spacing w:after="160"/>
      </w:pPr>
      <w:r>
        <w:rPr>
          <w:rFonts w:ascii="Arial" w:cs="Arial" w:eastAsia="Arial" w:hAnsi="Arial"/>
          <w:color w:val="3D4659"/>
          <w:sz w:val="22"/>
          <w:szCs w:val="22"/>
        </w:rPr>
        <w:t xml:space="preserve">Does the output contain all required structural components for its treatment type? Observation has a number? Client voice has a topic anchor? Benchmark has a statistic? Recommendation has a specific action? If any required element is missing, the output fails and must be regenerated.</w:t>
      </w:r>
    </w:p>
    <w:p>
      <w:pPr>
        <w:pStyle w:val="Heading2"/>
      </w:pPr>
      <w:r>
        <w:t xml:space="preserve">Gate 2: Anti-Pattern Scan</w:t>
      </w:r>
    </w:p>
    <w:p>
      <w:pPr>
        <w:spacing w:after="160"/>
      </w:pPr>
      <w:r>
        <w:rPr>
          <w:rFonts w:ascii="Arial" w:cs="Arial" w:eastAsia="Arial" w:hAnsi="Arial"/>
          <w:color w:val="3D4659"/>
          <w:sz w:val="22"/>
          <w:szCs w:val="22"/>
        </w:rPr>
        <w:t xml:space="preserve">Does the output contain any banned phrases? Any internal terminology? Any marketing language? Any generic advice? Any causal claims in observations? Any multi-paragraph client quotes? If any anti-pattern is detected, the output fails and must be revised.</w:t>
      </w:r>
    </w:p>
    <w:p>
      <w:pPr>
        <w:pStyle w:val="Heading2"/>
      </w:pPr>
      <w:r>
        <w:t xml:space="preserve">Gate 3: Real Advisor Test</w:t>
      </w:r>
    </w:p>
    <w:p>
      <w:pPr>
        <w:spacing w:after="160"/>
      </w:pPr>
      <w:r>
        <w:rPr>
          <w:rFonts w:ascii="Arial" w:cs="Arial" w:eastAsia="Arial" w:hAnsi="Arial"/>
          <w:color w:val="3D4659"/>
          <w:sz w:val="22"/>
          <w:szCs w:val="22"/>
        </w:rPr>
        <w:t xml:space="preserve">Read the output as if you are a financial advisor with 15 years of experience and 200 clients. Does this feel like insight from someone who observed your practice, or does it feel like a template that could apply to anyone? If the advisor would think “this could have been written without ever meeting me,” the output fails.</w:t>
      </w:r>
    </w:p>
    <w:p>
      <w:pPr>
        <w:spacing w:after="200"/>
      </w:pPr>
    </w:p>
    <w:p>
      <w:pPr>
        <w:pBdr>
          <w:bottom w:val="single" w:color="1B5E7B" w:sz="6" w:space="1"/>
        </w:pBdr>
        <w:spacing w:before="200" w:after="200"/>
      </w:pPr>
    </w:p>
    <w:p>
      <w:pPr>
        <w:pStyle w:val="Heading2"/>
      </w:pPr>
      <w:r>
        <w:t xml:space="preserve">Revision History</w:t>
      </w:r>
    </w:p>
    <w:p>
      <w:pPr>
        <w:spacing w:after="160"/>
      </w:pPr>
      <w:r>
        <w:rPr>
          <w:rFonts w:ascii="Arial" w:cs="Arial" w:eastAsia="Arial" w:hAnsi="Arial"/>
          <w:b/>
          <w:bCs/>
          <w:color w:val="0E3A4D"/>
          <w:sz w:val="22"/>
          <w:szCs w:val="22"/>
        </w:rPr>
        <w:t xml:space="preserve">v1.0 — February 17, 2026: </w:t>
      </w:r>
      <w:r>
        <w:rPr>
          <w:rFonts w:ascii="Arial" w:cs="Arial" w:eastAsia="Arial" w:hAnsi="Arial"/>
          <w:color w:val="3D4659"/>
          <w:sz w:val="22"/>
          <w:szCs w:val="22"/>
        </w:rPr>
        <w:t xml:space="preserve">Initial guardrails established. Defined per-treatment structural requirements, validation tables, banned phrases list, band-adaptive patterns, AI prompt template, and three-gate validation workflow. Companion to Intelligence Treatment Framework v1.0 and Intelligence Repository v1.0.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0E3A4D"/>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1B5E7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E3A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2026-02-17T23:29:23.344Z</dcterms:created>
  <dcterms:modified xsi:type="dcterms:W3CDTF">2026-02-17T23:29:23.345Z</dcterms:modified>
</cp:coreProperties>
</file>

<file path=docProps/custom.xml><?xml version="1.0" encoding="utf-8"?>
<Properties xmlns="http://schemas.openxmlformats.org/officeDocument/2006/custom-properties" xmlns:vt="http://schemas.openxmlformats.org/officeDocument/2006/docPropsVTypes"/>
</file>