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5E7B"/>
          <w:spacing w:val="200"/>
          <w:sz w:val="20"/>
          <w:szCs w:val="20"/>
        </w:rPr>
        <w:t xml:space="preserve">POINT93</w:t>
      </w:r>
    </w:p>
    <w:p>
      <w:pPr>
        <w:spacing w:after="80"/>
        <w:jc w:val="center"/>
      </w:pPr>
      <w:r>
        <w:rPr>
          <w:rFonts w:ascii="Georgia" w:cs="Georgia" w:eastAsia="Georgia" w:hAnsi="Georgia"/>
          <w:color w:val="0E3A4D"/>
          <w:sz w:val="48"/>
          <w:szCs w:val="48"/>
        </w:rPr>
        <w:t xml:space="preserve">Intelligence Repository</w:t>
      </w:r>
    </w:p>
    <w:p>
      <w:pPr>
        <w:pBdr>
          <w:bottom w:val="single" w:color="1B5E7B" w:sz="6" w:space="1"/>
        </w:pBdr>
        <w:spacing w:after="400"/>
        <w:jc w:val="center"/>
      </w:pPr>
      <w:r>
        <w:rPr>
          <w:rFonts w:ascii="Arial" w:cs="Arial" w:eastAsia="Arial" w:hAnsi="Arial"/>
          <w:color w:val="6E7A8F"/>
          <w:sz w:val="24"/>
          <w:szCs w:val="24"/>
        </w:rPr>
        <w:t xml:space="preserve">Root Content for AI Expansion Across All Modules and Data Points</w:t>
      </w:r>
    </w:p>
    <w:p>
      <w:pPr>
        <w:spacing w:after="400"/>
      </w:pPr>
    </w:p>
    <w:p>
      <w:pPr>
        <w:spacing w:after="80"/>
        <w:jc w:val="center"/>
      </w:pPr>
      <w:r>
        <w:rPr>
          <w:rFonts w:ascii="Arial" w:cs="Arial" w:eastAsia="Arial" w:hAnsi="Arial"/>
          <w:color w:val="6E7A8F"/>
          <w:sz w:val="20"/>
          <w:szCs w:val="20"/>
        </w:rPr>
        <w:t xml:space="preserve">Version 1.0  •  February 2026</w:t>
      </w:r>
    </w:p>
    <w:p>
      <w:pPr>
        <w:jc w:val="center"/>
      </w:pPr>
      <w:r>
        <w:rPr>
          <w:rFonts w:ascii="Arial" w:cs="Arial" w:eastAsia="Arial" w:hAnsi="Arial"/>
          <w:color w:val="6E7A8F"/>
          <w:sz w:val="20"/>
          <w:szCs w:val="20"/>
        </w:rPr>
        <w:t xml:space="preserve">Seed Content — Designed for AI-Driven Expansion</w:t>
      </w:r>
    </w:p>
    <w:p>
      <w:r>
        <w:br w:type="page"/>
      </w:r>
    </w:p>
    <w:p>
      <w:pPr>
        <w:pStyle w:val="Heading1"/>
      </w:pPr>
      <w:r>
        <w:t xml:space="preserve">How to Use This Repository</w:t>
      </w:r>
    </w:p>
    <w:p>
      <w:pPr>
        <w:spacing w:after="160"/>
      </w:pPr>
      <w:r>
        <w:rPr>
          <w:rFonts w:ascii="Arial" w:cs="Arial" w:eastAsia="Arial" w:hAnsi="Arial"/>
          <w:color w:val="3D4659"/>
          <w:sz w:val="22"/>
          <w:szCs w:val="22"/>
        </w:rPr>
        <w:t xml:space="preserve">This document contains </w:t>
      </w:r>
      <w:r>
        <w:rPr>
          <w:rFonts w:ascii="Arial" w:cs="Arial" w:eastAsia="Arial" w:hAnsi="Arial"/>
          <w:b/>
          <w:bCs/>
          <w:color w:val="0E3A4D"/>
          <w:sz w:val="22"/>
          <w:szCs w:val="22"/>
        </w:rPr>
        <w:t xml:space="preserve">root content</w:t>
      </w:r>
      <w:r>
        <w:rPr>
          <w:rFonts w:ascii="Arial" w:cs="Arial" w:eastAsia="Arial" w:hAnsi="Arial"/>
          <w:color w:val="3D4659"/>
          <w:sz w:val="22"/>
          <w:szCs w:val="22"/>
        </w:rPr>
        <w:t xml:space="preserve"> for every module and data point in the Point93 assessment platform. Each entry provides a seed version of every intelligence treatment type defined in the Intelligence Treatment Framework.</w:t>
      </w:r>
    </w:p>
    <w:p>
      <w:pPr>
        <w:spacing w:after="160"/>
      </w:pPr>
      <w:r>
        <w:rPr>
          <w:rFonts w:ascii="Arial" w:cs="Arial" w:eastAsia="Arial" w:hAnsi="Arial"/>
          <w:color w:val="3D4659"/>
          <w:sz w:val="22"/>
          <w:szCs w:val="22"/>
        </w:rPr>
        <w:t xml:space="preserve">The content is deliberately authored at one band level (noted in each block) to establish tone, specificity, and depth. AI expansion should use these roots to generate the remaining band-adaptive variants while maintaining the same level of concrete, observational detail.</w:t>
      </w:r>
    </w:p>
    <w:p>
      <w:pPr>
        <w:spacing w:after="80"/>
      </w:pPr>
    </w:p>
    <w:p>
      <w:pPr>
        <w:pStyle w:val="Heading2"/>
      </w:pPr>
      <w:r>
        <w:t xml:space="preserve">Expansion Instructions for AI</w:t>
      </w:r>
    </w:p>
    <w:p>
      <w:pPr>
        <w:spacing w:after="160"/>
      </w:pPr>
      <w:r>
        <w:rPr>
          <w:rFonts w:ascii="Arial" w:cs="Arial" w:eastAsia="Arial" w:hAnsi="Arial"/>
          <w:b/>
          <w:bCs/>
          <w:color w:val="0E3A4D"/>
          <w:sz w:val="22"/>
          <w:szCs w:val="22"/>
        </w:rPr>
        <w:t xml:space="preserve">For each module, generate four band-adaptive variants </w:t>
      </w:r>
      <w:r>
        <w:rPr>
          <w:rFonts w:ascii="Arial" w:cs="Arial" w:eastAsia="Arial" w:hAnsi="Arial"/>
          <w:color w:val="3D4659"/>
          <w:sz w:val="22"/>
          <w:szCs w:val="22"/>
        </w:rPr>
        <w:t xml:space="preserve">of: Diagnostic Narrative, Client Perspective Quote, Observational Evidence, and Recommendation. Use the root as the quality and specificity benchmark. Every variant must include concrete behavioral details — never generic assessments.</w:t>
      </w:r>
    </w:p>
    <w:p>
      <w:pPr>
        <w:spacing w:after="160"/>
      </w:pPr>
      <w:r>
        <w:rPr>
          <w:rFonts w:ascii="Arial" w:cs="Arial" w:eastAsia="Arial" w:hAnsi="Arial"/>
          <w:b/>
          <w:bCs/>
          <w:color w:val="0E3A4D"/>
          <w:sz w:val="22"/>
          <w:szCs w:val="22"/>
        </w:rPr>
        <w:t xml:space="preserve">Behavioral Benchmarks are not band-adaptive </w:t>
      </w:r>
      <w:r>
        <w:rPr>
          <w:rFonts w:ascii="Arial" w:cs="Arial" w:eastAsia="Arial" w:hAnsi="Arial"/>
          <w:color w:val="3D4659"/>
          <w:sz w:val="22"/>
          <w:szCs w:val="22"/>
        </w:rPr>
        <w:t xml:space="preserve">— they describe what top performers do regardless of the advisor’s current score. Expand by adding additional benchmark behaviors as new data supports them.</w:t>
      </w:r>
    </w:p>
    <w:p>
      <w:pPr>
        <w:spacing w:after="160"/>
      </w:pPr>
      <w:r>
        <w:rPr>
          <w:rFonts w:ascii="Arial" w:cs="Arial" w:eastAsia="Arial" w:hAnsi="Arial"/>
          <w:b/>
          <w:bCs/>
          <w:color w:val="0E3A4D"/>
          <w:sz w:val="22"/>
          <w:szCs w:val="22"/>
        </w:rPr>
        <w:t xml:space="preserve">Strength Leverage Narratives only apply to Competitive and Good bands. </w:t>
      </w:r>
      <w:r>
        <w:rPr>
          <w:rFonts w:ascii="Arial" w:cs="Arial" w:eastAsia="Arial" w:hAnsi="Arial"/>
          <w:color w:val="3D4659"/>
          <w:sz w:val="22"/>
          <w:szCs w:val="22"/>
        </w:rPr>
        <w:t xml:space="preserve">These should frame the strength as an active business asset, not just a positive score. Always include a specific action the advisor can take to capitalize on the advantage.</w:t>
      </w:r>
    </w:p>
    <w:p>
      <w:pPr>
        <w:spacing w:after="160"/>
      </w:pPr>
      <w:r>
        <w:rPr>
          <w:rFonts w:ascii="Arial" w:cs="Arial" w:eastAsia="Arial" w:hAnsi="Arial"/>
          <w:b/>
          <w:bCs/>
          <w:color w:val="0E3A4D"/>
          <w:sz w:val="22"/>
          <w:szCs w:val="22"/>
        </w:rPr>
        <w:t xml:space="preserve">Client Perspective quotes must feel real. </w:t>
      </w:r>
      <w:r>
        <w:rPr>
          <w:rFonts w:ascii="Arial" w:cs="Arial" w:eastAsia="Arial" w:hAnsi="Arial"/>
          <w:color w:val="3D4659"/>
          <w:sz w:val="22"/>
          <w:szCs w:val="22"/>
        </w:rPr>
        <w:t xml:space="preserve">They are composites derived from evaluation data, not fabricated testimonials. Each should sound like something a real person would say in conversation — imperfect, specific, human. Avoid polished marketing language.</w:t>
      </w:r>
    </w:p>
    <w:p>
      <w:pPr>
        <w:spacing w:after="160"/>
      </w:pPr>
      <w:r>
        <w:rPr>
          <w:rFonts w:ascii="Arial" w:cs="Arial" w:eastAsia="Arial" w:hAnsi="Arial"/>
          <w:b/>
          <w:bCs/>
          <w:color w:val="0E3A4D"/>
          <w:sz w:val="22"/>
          <w:szCs w:val="22"/>
        </w:rPr>
        <w:t xml:space="preserve">Observational Evidence must include numbers. </w:t>
      </w:r>
      <w:r>
        <w:rPr>
          <w:rFonts w:ascii="Arial" w:cs="Arial" w:eastAsia="Arial" w:hAnsi="Arial"/>
          <w:color w:val="3D4659"/>
          <w:sz w:val="22"/>
          <w:szCs w:val="22"/>
        </w:rPr>
        <w:t xml:space="preserve">Every observation block should reference specific counts, frequencies, or proportions (“3 of 5 clients,” “in every evaluated interaction,” “2 out of 4 meetings”). Abstract observations fail the specificity test.</w:t>
      </w:r>
    </w:p>
    <w:p>
      <w:r>
        <w:br w:type="page"/>
      </w:r>
    </w:p>
    <w:p>
      <w:pPr>
        <w:pStyle w:val="Heading1"/>
      </w:pPr>
      <w:r>
        <w:t xml:space="preserve">Module Repository</w:t>
      </w:r>
    </w:p>
    <w:p>
      <w:pPr>
        <w:spacing w:after="80"/>
      </w:pPr>
    </w:p>
    <w:p>
      <w:pPr>
        <w:pStyle w:val="Heading2"/>
      </w:pPr>
      <w:r>
        <w:t xml:space="preserve">Fee Structure &amp; Value Articulation</w:t>
      </w:r>
    </w:p>
    <w:p>
      <w:pPr>
        <w:spacing w:after="160"/>
      </w:pPr>
      <w:r>
        <w:rPr>
          <w:rFonts w:ascii="Arial" w:cs="Arial" w:eastAsia="Arial" w:hAnsi="Arial"/>
          <w:color w:val="6E7A8F"/>
          <w:sz w:val="20"/>
          <w:szCs w:val="20"/>
        </w:rPr>
        <w:t xml:space="preserve">Fee transparency, value communication, and competitive positioning of costs</w:t>
      </w:r>
    </w:p>
    <w:p>
      <w:pPr>
        <w:spacing w:after="60"/>
      </w:pPr>
    </w:p>
    <w:p>
      <w:pPr>
        <w:shd w:fill="F5F7FA" w:val="clear"/>
        <w:spacing w:after="80"/>
      </w:pPr>
      <w:r>
        <w:rPr>
          <w:rFonts w:ascii="Arial" w:cs="Arial" w:eastAsia="Arial" w:hAnsi="Arial"/>
          <w:color w:val="6E7A8F"/>
          <w:sz w:val="18"/>
          <w:szCs w:val="18"/>
        </w:rPr>
        <w:t xml:space="preserve">  ⚠ Content below shows the root template. Band-adaptive variants (Competitive, Good, Needs Work, At Risk) to be generated from these roots.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DIAGNOSTIC NARRATIVE</w:t>
            </w:r>
          </w:p>
          <w:p>
            <w:pPr>
              <w:spacing w:after="80"/>
            </w:pPr>
            <w:r>
              <w:rPr>
                <w:rFonts w:ascii="Arial" w:cs="Arial" w:eastAsia="Arial" w:hAnsi="Arial"/>
                <w:b/>
                <w:bCs/>
                <w:i w:val="false"/>
                <w:iCs w:val="false"/>
                <w:color w:val="0E3A4D"/>
                <w:sz w:val="21"/>
                <w:szCs w:val="21"/>
              </w:rPr>
              <w:t xml:space="preserve">Root narrative (At Risk):</w:t>
            </w:r>
          </w:p>
          <w:p>
            <w:pPr>
              <w:spacing w:after="80"/>
            </w:pPr>
            <w:r>
              <w:rPr>
                <w:rFonts w:ascii="Georgia" w:cs="Georgia" w:eastAsia="Georgia" w:hAnsi="Georgia"/>
                <w:b w:val="false"/>
                <w:bCs w:val="false"/>
                <w:i/>
                <w:iCs/>
                <w:color w:val="0E3A4D"/>
                <w:sz w:val="21"/>
                <w:szCs w:val="21"/>
              </w:rPr>
              <w:t xml:space="preserve">Clients cannot yet articulate what they pay or why they pay it. This creates a vulnerability where competitors win on perception alone — not because they deliver more, but because they explain their value more clearly.</w:t>
            </w:r>
          </w:p>
          <w:p>
            <w:pPr>
              <w:spacing w:after="80"/>
            </w:pPr>
            <w:r>
              <w:rPr>
                <w:rFonts w:ascii="Arial" w:cs="Arial" w:eastAsia="Arial" w:hAnsi="Arial"/>
                <w:b w:val="false"/>
                <w:bCs w:val="false"/>
                <w:i w:val="false"/>
                <w:iCs w:val="false"/>
                <w:color w:val="6E7A8F"/>
                <w:sz w:val="19"/>
                <w:szCs w:val="19"/>
              </w:rPr>
              <w:t xml:space="preserve">Expansion latitude: Adapt by band. Competitive band should emphasize proactive fee communication as a differentiator. Good band should note the gap between service quality and articulation. Needs Work should focus on the missed opportunity. At Risk should emphasize retention vulnerability.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C6973B" w:sz="8"/>
              <w:bottom w:val="single" w:color="D0D7E0" w:sz="1"/>
              <w:right w:val="single" w:color="D0D7E0" w:sz="1"/>
            </w:tcBorders>
            <w:shd w:fill="FBF6ED" w:val="clear"/>
            <w:tcMar>
              <w:top w:type="dxa" w:w="120"/>
              <w:left w:type="dxa" w:w="200"/>
              <w:bottom w:type="dxa" w:w="120"/>
              <w:right w:type="dxa" w:w="200"/>
            </w:tcMar>
          </w:tcPr>
          <w:p>
            <w:pPr>
              <w:spacing w:after="60"/>
            </w:pPr>
            <w:r>
              <w:rPr>
                <w:rFonts w:ascii="Arial" w:cs="Arial" w:eastAsia="Arial" w:hAnsi="Arial"/>
                <w:b/>
                <w:bCs/>
                <w:color w:val="C6973B"/>
                <w:spacing w:val="60"/>
                <w:sz w:val="16"/>
                <w:szCs w:val="16"/>
              </w:rPr>
              <w:t xml:space="preserve">CLIENT PERSPECTIVE</w:t>
            </w:r>
          </w:p>
          <w:p>
            <w:pPr>
              <w:spacing w:after="80"/>
            </w:pPr>
            <w:r>
              <w:rPr>
                <w:rFonts w:ascii="Arial" w:cs="Arial" w:eastAsia="Arial" w:hAnsi="Arial"/>
                <w:b/>
                <w:bCs/>
                <w:i w:val="false"/>
                <w:iCs w:val="false"/>
                <w:color w:val="0E3A4D"/>
                <w:sz w:val="21"/>
                <w:szCs w:val="21"/>
              </w:rPr>
              <w:t xml:space="preserve">Root composite (At Risk):</w:t>
            </w:r>
          </w:p>
          <w:p>
            <w:pPr>
              <w:spacing w:after="80"/>
            </w:pPr>
            <w:r>
              <w:rPr>
                <w:rFonts w:ascii="Georgia" w:cs="Georgia" w:eastAsia="Georgia" w:hAnsi="Georgia"/>
                <w:b w:val="false"/>
                <w:bCs w:val="false"/>
                <w:i/>
                <w:iCs/>
                <w:color w:val="0E3A4D"/>
                <w:sz w:val="21"/>
                <w:szCs w:val="21"/>
              </w:rPr>
              <w:t xml:space="preserve">“I assume he’s competitive, but I’ve honestly never compared. I just trust that it’s fair because he’s a good guy.”</w:t>
            </w:r>
          </w:p>
          <w:p>
            <w:pPr>
              <w:spacing w:after="80"/>
            </w:pPr>
            <w:r>
              <w:rPr>
                <w:rFonts w:ascii="Arial" w:cs="Arial" w:eastAsia="Arial" w:hAnsi="Arial"/>
                <w:b w:val="false"/>
                <w:bCs w:val="false"/>
                <w:i w:val="false"/>
                <w:iCs w:val="false"/>
                <w:color w:val="6E7A8F"/>
                <w:sz w:val="19"/>
                <w:szCs w:val="19"/>
              </w:rPr>
              <w:t xml:space="preserve">Expansion latitude: Generate band-specific composites. Competitive: clients proactively defend the fee. Good: clients can name the fee but not the full value. Needs Work: clients are vaguely aware. At Risk: clients rely on blind trust or haven’t thought about it.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0E3A4D" w:sz="8"/>
              <w:bottom w:val="single" w:color="D0D7E0" w:sz="1"/>
              <w:right w:val="single" w:color="D0D7E0" w:sz="1"/>
            </w:tcBorders>
            <w:shd w:fill="F5F7FA" w:val="clear"/>
            <w:tcMar>
              <w:top w:type="dxa" w:w="120"/>
              <w:left w:type="dxa" w:w="200"/>
              <w:bottom w:type="dxa" w:w="120"/>
              <w:right w:type="dxa" w:w="200"/>
            </w:tcMar>
          </w:tcPr>
          <w:p>
            <w:pPr>
              <w:spacing w:after="60"/>
            </w:pPr>
            <w:r>
              <w:rPr>
                <w:rFonts w:ascii="Arial" w:cs="Arial" w:eastAsia="Arial" w:hAnsi="Arial"/>
                <w:b/>
                <w:bCs/>
                <w:color w:val="0E3A4D"/>
                <w:spacing w:val="60"/>
                <w:sz w:val="16"/>
                <w:szCs w:val="16"/>
              </w:rPr>
              <w:t xml:space="preserve">OBSERVATIONAL EVIDENCE</w:t>
            </w:r>
          </w:p>
          <w:p>
            <w:pPr>
              <w:spacing w:after="80"/>
            </w:pPr>
            <w:r>
              <w:rPr>
                <w:rFonts w:ascii="Arial" w:cs="Arial" w:eastAsia="Arial" w:hAnsi="Arial"/>
                <w:b/>
                <w:bCs/>
                <w:i w:val="false"/>
                <w:iCs w:val="false"/>
                <w:color w:val="0E3A4D"/>
                <w:sz w:val="21"/>
                <w:szCs w:val="21"/>
              </w:rPr>
              <w:t xml:space="preserve">Root observation (At Risk):</w:t>
            </w:r>
          </w:p>
          <w:p>
            <w:pPr>
              <w:spacing w:after="80"/>
            </w:pPr>
            <w:r>
              <w:rPr>
                <w:rFonts w:ascii="Arial" w:cs="Arial" w:eastAsia="Arial" w:hAnsi="Arial"/>
                <w:b w:val="false"/>
                <w:bCs w:val="false"/>
                <w:i w:val="false"/>
                <w:iCs w:val="false"/>
                <w:color w:val="3D4659"/>
                <w:sz w:val="21"/>
                <w:szCs w:val="21"/>
              </w:rPr>
              <w:t xml:space="preserve">In 3 of 5 evaluated client interactions, clients were asked what they pay and either couldn’t answer or significantly underestimated. Two clients confused the advisory fee with fund expense ratios. None could name a specific service beyond “managing my investments.”</w:t>
            </w:r>
          </w:p>
          <w:p>
            <w:pPr>
              <w:spacing w:after="80"/>
            </w:pPr>
            <w:r>
              <w:rPr>
                <w:rFonts w:ascii="Arial" w:cs="Arial" w:eastAsia="Arial" w:hAnsi="Arial"/>
                <w:b w:val="false"/>
                <w:bCs w:val="false"/>
                <w:i w:val="false"/>
                <w:iCs w:val="false"/>
                <w:color w:val="6E7A8F"/>
                <w:sz w:val="19"/>
                <w:szCs w:val="19"/>
              </w:rPr>
              <w:t xml:space="preserve">Expansion latitude: Vary the specific observations by band. Competitive: clients recall fee conversations and can articulate value unprompted. Good: most clients know the fee but struggle with value articulation. Maintain concrete details (numbers, scenarios, behaviors) in all variants.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BEHAVIORAL BENCHMARK</w:t>
            </w:r>
          </w:p>
          <w:p>
            <w:pPr>
              <w:spacing w:after="80"/>
            </w:pPr>
            <w:r>
              <w:rPr>
                <w:rFonts w:ascii="Arial" w:cs="Arial" w:eastAsia="Arial" w:hAnsi="Arial"/>
                <w:b/>
                <w:bCs/>
                <w:i w:val="false"/>
                <w:iCs w:val="false"/>
                <w:color w:val="0E3A4D"/>
                <w:sz w:val="21"/>
                <w:szCs w:val="21"/>
              </w:rPr>
              <w:t xml:space="preserve">Root benchmark:</w:t>
            </w:r>
          </w:p>
          <w:p>
            <w:pPr>
              <w:spacing w:after="80"/>
            </w:pPr>
            <w:r>
              <w:rPr>
                <w:rFonts w:ascii="Arial" w:cs="Arial" w:eastAsia="Arial" w:hAnsi="Arial"/>
                <w:b w:val="false"/>
                <w:bCs w:val="false"/>
                <w:i w:val="false"/>
                <w:iCs w:val="false"/>
                <w:color w:val="3D4659"/>
                <w:sz w:val="21"/>
                <w:szCs w:val="21"/>
              </w:rPr>
              <w:t xml:space="preserve">89% of top-5% advisors proactively walk clients through a fee comparison during onboarding — before the client ever asks. They also revisit value articulation at least annually, connecting specific services to specific fee components.</w:t>
            </w:r>
          </w:p>
          <w:p>
            <w:pPr>
              <w:spacing w:after="80"/>
            </w:pPr>
            <w:r>
              <w:rPr>
                <w:rFonts w:ascii="Arial" w:cs="Arial" w:eastAsia="Arial" w:hAnsi="Arial"/>
                <w:b w:val="false"/>
                <w:bCs w:val="false"/>
                <w:i w:val="false"/>
                <w:iCs w:val="false"/>
                <w:color w:val="6E7A8F"/>
                <w:sz w:val="19"/>
                <w:szCs w:val="19"/>
              </w:rPr>
              <w:t xml:space="preserve">Expansion latitude: Add additional benchmark behaviors as data supports. E.g., frequency of fee review conversations, use of visual fee breakdowns, percentage who provide written value summaries.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RECOMMENDATION</w:t>
            </w:r>
          </w:p>
          <w:p>
            <w:pPr>
              <w:spacing w:after="80"/>
            </w:pPr>
            <w:r>
              <w:rPr>
                <w:rFonts w:ascii="Arial" w:cs="Arial" w:eastAsia="Arial" w:hAnsi="Arial"/>
                <w:b/>
                <w:bCs/>
                <w:i w:val="false"/>
                <w:iCs w:val="false"/>
                <w:color w:val="0E3A4D"/>
                <w:sz w:val="21"/>
                <w:szCs w:val="21"/>
              </w:rPr>
              <w:t xml:space="preserve">Root recommendation (At Risk):</w:t>
            </w:r>
          </w:p>
          <w:p>
            <w:pPr>
              <w:spacing w:after="80"/>
            </w:pPr>
            <w:r>
              <w:rPr>
                <w:rFonts w:ascii="Arial" w:cs="Arial" w:eastAsia="Arial" w:hAnsi="Arial"/>
                <w:b w:val="false"/>
                <w:bCs w:val="false"/>
                <w:i w:val="false"/>
                <w:iCs w:val="false"/>
                <w:color w:val="3D4659"/>
                <w:sz w:val="21"/>
                <w:szCs w:val="21"/>
              </w:rPr>
              <w:t xml:space="preserve">Start with fee transparency during onboarding conversations. Create a one-page value summary that maps each service to its fee component. Advisors who introduced this single artifact saw client fee comprehension scores improve by an average of 31 points within two quarters.</w:t>
            </w:r>
          </w:p>
          <w:p>
            <w:pPr>
              <w:spacing w:after="80"/>
            </w:pPr>
            <w:r>
              <w:rPr>
                <w:rFonts w:ascii="Arial" w:cs="Arial" w:eastAsia="Arial" w:hAnsi="Arial"/>
                <w:b w:val="false"/>
                <w:bCs w:val="false"/>
                <w:i w:val="false"/>
                <w:iCs w:val="false"/>
                <w:color w:val="6E7A8F"/>
                <w:sz w:val="19"/>
                <w:szCs w:val="19"/>
              </w:rPr>
              <w:t xml:space="preserve">Expansion latitude: Band-adaptive. Competitive: optimize and refine what’s already working. Good: close specific gaps in communication. Needs Work: introduce foundational fee communication habits. At Risk: prioritize immediate interventions with highest retention impact.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STRENGTH LEVERAGE NARRATIVE</w:t>
            </w:r>
          </w:p>
          <w:p>
            <w:pPr>
              <w:spacing w:after="80"/>
            </w:pPr>
            <w:r>
              <w:rPr>
                <w:rFonts w:ascii="Arial" w:cs="Arial" w:eastAsia="Arial" w:hAnsi="Arial"/>
                <w:b/>
                <w:bCs/>
                <w:i w:val="false"/>
                <w:iCs w:val="false"/>
                <w:color w:val="0E3A4D"/>
                <w:sz w:val="21"/>
                <w:szCs w:val="21"/>
              </w:rPr>
              <w:t xml:space="preserve">Root leverage (Competitive):</w:t>
            </w:r>
          </w:p>
          <w:p>
            <w:pPr>
              <w:spacing w:after="80"/>
            </w:pPr>
            <w:r>
              <w:rPr>
                <w:rFonts w:ascii="Arial" w:cs="Arial" w:eastAsia="Arial" w:hAnsi="Arial"/>
                <w:b w:val="false"/>
                <w:bCs w:val="false"/>
                <w:i w:val="false"/>
                <w:iCs w:val="false"/>
                <w:color w:val="3D4659"/>
                <w:sz w:val="21"/>
                <w:szCs w:val="21"/>
              </w:rPr>
              <w:t xml:space="preserve">Your fee transparency is a competitive advantage most advisors underestimate. Clients who clearly understand their fees are 3.2x more likely to refer — because they can explain to friends what they’re getting. Consider making your fee conversation a signature part of your onboarding experience.</w:t>
            </w:r>
          </w:p>
        </w:tc>
      </w:tr>
    </w:tbl>
    <w:p>
      <w:pPr>
        <w:spacing w:after="100"/>
      </w:pPr>
    </w:p>
    <w:p>
      <w:pPr>
        <w:pStyle w:val="Heading3"/>
      </w:pPr>
      <w:r>
        <w:t xml:space="preserve">Data Points</w:t>
      </w:r>
    </w:p>
    <w:p>
      <w:pPr>
        <w:pBdr>
          <w:bottom w:val="single" w:color="D0D7E0" w:sz="1" w:space="4"/>
        </w:pBdr>
        <w:spacing w:after="40"/>
      </w:pPr>
      <w:r>
        <w:rPr>
          <w:rFonts w:ascii="Arial" w:cs="Arial" w:eastAsia="Arial" w:hAnsi="Arial"/>
          <w:b/>
          <w:bCs/>
          <w:color w:val="0E3A4D"/>
          <w:sz w:val="22"/>
          <w:szCs w:val="22"/>
        </w:rPr>
        <w:t xml:space="preserve">Value Quantification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clients can articulate the specific value they receive beyond investment returns — the “what am I paying for?” test.</w:t>
      </w:r>
    </w:p>
    <w:p>
      <w:pPr>
        <w:spacing w:after="120"/>
      </w:pPr>
      <w:r>
        <w:rPr>
          <w:rFonts w:ascii="Arial" w:cs="Arial" w:eastAsia="Arial" w:hAnsi="Arial"/>
          <w:color w:val="6E7A8F"/>
          <w:sz w:val="18"/>
          <w:szCs w:val="18"/>
        </w:rPr>
        <w:t xml:space="preserve">Benchmarks: Average 54  |  Top 5%: 92</w:t>
      </w:r>
    </w:p>
    <w:p>
      <w:pPr>
        <w:pBdr>
          <w:bottom w:val="single" w:color="D0D7E0" w:sz="1" w:space="4"/>
        </w:pBdr>
        <w:spacing w:after="40"/>
      </w:pPr>
      <w:r>
        <w:rPr>
          <w:rFonts w:ascii="Arial" w:cs="Arial" w:eastAsia="Arial" w:hAnsi="Arial"/>
          <w:b/>
          <w:bCs/>
          <w:color w:val="0E3A4D"/>
          <w:sz w:val="22"/>
          <w:szCs w:val="22"/>
        </w:rPr>
        <w:t xml:space="preserve">Fee Comparison Clarity</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clearly clients understand how your fees compare to alternatives — robo-advisors, other advisors, and direct investing.</w:t>
      </w:r>
    </w:p>
    <w:p>
      <w:pPr>
        <w:spacing w:after="120"/>
      </w:pPr>
      <w:r>
        <w:rPr>
          <w:rFonts w:ascii="Arial" w:cs="Arial" w:eastAsia="Arial" w:hAnsi="Arial"/>
          <w:color w:val="6E7A8F"/>
          <w:sz w:val="18"/>
          <w:szCs w:val="18"/>
        </w:rPr>
        <w:t xml:space="preserve">Benchmarks: Average 61  |  Top 5%: 91</w:t>
      </w:r>
    </w:p>
    <w:p>
      <w:pPr>
        <w:pBdr>
          <w:bottom w:val="single" w:color="D0D7E0" w:sz="1" w:space="4"/>
        </w:pBdr>
        <w:spacing w:after="40"/>
      </w:pPr>
      <w:r>
        <w:rPr>
          <w:rFonts w:ascii="Arial" w:cs="Arial" w:eastAsia="Arial" w:hAnsi="Arial"/>
          <w:b/>
          <w:bCs/>
          <w:color w:val="0E3A4D"/>
          <w:sz w:val="22"/>
          <w:szCs w:val="22"/>
        </w:rPr>
        <w:t xml:space="preserve">Service-to-Fee Alignment</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the services clients experience day-to-day match the value proposition they were told to expect when they signed on.</w:t>
      </w:r>
    </w:p>
    <w:p>
      <w:pPr>
        <w:spacing w:after="120"/>
      </w:pPr>
      <w:r>
        <w:rPr>
          <w:rFonts w:ascii="Arial" w:cs="Arial" w:eastAsia="Arial" w:hAnsi="Arial"/>
          <w:color w:val="6E7A8F"/>
          <w:sz w:val="18"/>
          <w:szCs w:val="18"/>
        </w:rPr>
        <w:t xml:space="preserve">Benchmarks: Average 65  |  Top 5%: 89</w:t>
      </w:r>
    </w:p>
    <w:p>
      <w:pPr>
        <w:pBdr>
          <w:bottom w:val="single" w:color="D0D7E0" w:sz="1" w:space="4"/>
        </w:pBdr>
        <w:spacing w:after="40"/>
      </w:pPr>
      <w:r>
        <w:rPr>
          <w:rFonts w:ascii="Arial" w:cs="Arial" w:eastAsia="Arial" w:hAnsi="Arial"/>
          <w:b/>
          <w:bCs/>
          <w:color w:val="0E3A4D"/>
          <w:sz w:val="22"/>
          <w:szCs w:val="22"/>
        </w:rPr>
        <w:t xml:space="preserve">Fee Communication Frequency</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often and how proactively you initiate conversations about fees, value, and cost — rather than waiting for clients to ask.</w:t>
      </w:r>
    </w:p>
    <w:p>
      <w:pPr>
        <w:spacing w:after="120"/>
      </w:pPr>
      <w:r>
        <w:rPr>
          <w:rFonts w:ascii="Arial" w:cs="Arial" w:eastAsia="Arial" w:hAnsi="Arial"/>
          <w:color w:val="6E7A8F"/>
          <w:sz w:val="18"/>
          <w:szCs w:val="18"/>
        </w:rPr>
        <w:t xml:space="preserve">Benchmarks: Average 52  |  Top 5%: 88</w:t>
      </w:r>
    </w:p>
    <w:p>
      <w:pPr>
        <w:pBdr>
          <w:bottom w:val="single" w:color="D0D7E0" w:sz="1" w:space="4"/>
        </w:pBdr>
        <w:spacing w:after="40"/>
      </w:pPr>
      <w:r>
        <w:rPr>
          <w:rFonts w:ascii="Arial" w:cs="Arial" w:eastAsia="Arial" w:hAnsi="Arial"/>
          <w:b/>
          <w:bCs/>
          <w:color w:val="0E3A4D"/>
          <w:sz w:val="22"/>
          <w:szCs w:val="22"/>
        </w:rPr>
        <w:t xml:space="preserve">Total Cost Transparency</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clients understand the complete cost picture — advisory fees, fund expenses, transaction costs, and any other charges.</w:t>
      </w:r>
    </w:p>
    <w:p>
      <w:pPr>
        <w:spacing w:after="120"/>
      </w:pPr>
      <w:r>
        <w:rPr>
          <w:rFonts w:ascii="Arial" w:cs="Arial" w:eastAsia="Arial" w:hAnsi="Arial"/>
          <w:color w:val="6E7A8F"/>
          <w:sz w:val="18"/>
          <w:szCs w:val="18"/>
        </w:rPr>
        <w:t xml:space="preserve">Benchmarks: Average 48  |  Top 5%: 90</w:t>
      </w:r>
    </w:p>
    <w:p>
      <w:pPr>
        <w:spacing w:after="100"/>
      </w:pPr>
    </w:p>
    <w:p>
      <w:r>
        <w:br w:type="page"/>
      </w:r>
    </w:p>
    <w:p>
      <w:pPr>
        <w:pStyle w:val="Heading2"/>
      </w:pPr>
      <w:r>
        <w:t xml:space="preserve">Investment Selection &amp; Due Diligence</w:t>
      </w:r>
    </w:p>
    <w:p>
      <w:pPr>
        <w:spacing w:after="160"/>
      </w:pPr>
      <w:r>
        <w:rPr>
          <w:rFonts w:ascii="Arial" w:cs="Arial" w:eastAsia="Arial" w:hAnsi="Arial"/>
          <w:color w:val="6E7A8F"/>
          <w:sz w:val="20"/>
          <w:szCs w:val="20"/>
        </w:rPr>
        <w:t xml:space="preserve">Manager research, evaluation rigor, and ongoing performance monitoring</w:t>
      </w:r>
    </w:p>
    <w:p>
      <w:pPr>
        <w:spacing w:after="60"/>
      </w:pPr>
    </w:p>
    <w:p>
      <w:pPr>
        <w:shd w:fill="F5F7FA" w:val="clear"/>
        <w:spacing w:after="80"/>
      </w:pPr>
      <w:r>
        <w:rPr>
          <w:rFonts w:ascii="Arial" w:cs="Arial" w:eastAsia="Arial" w:hAnsi="Arial"/>
          <w:color w:val="6E7A8F"/>
          <w:sz w:val="18"/>
          <w:szCs w:val="18"/>
        </w:rPr>
        <w:t xml:space="preserve">  ⚠ Content below shows the root template. Band-adaptive variants (Competitive, Good, Needs Work, At Risk) to be generated from these roots.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DIAGNOSTIC NARRATIVE</w:t>
            </w:r>
          </w:p>
          <w:p>
            <w:pPr>
              <w:spacing w:after="80"/>
            </w:pPr>
            <w:r>
              <w:rPr>
                <w:rFonts w:ascii="Arial" w:cs="Arial" w:eastAsia="Arial" w:hAnsi="Arial"/>
                <w:b/>
                <w:bCs/>
                <w:i w:val="false"/>
                <w:iCs w:val="false"/>
                <w:color w:val="0E3A4D"/>
                <w:sz w:val="21"/>
                <w:szCs w:val="21"/>
              </w:rPr>
              <w:t xml:space="preserve">Root narrative (Competitive):</w:t>
            </w:r>
          </w:p>
          <w:p>
            <w:pPr>
              <w:spacing w:after="80"/>
            </w:pPr>
            <w:r>
              <w:rPr>
                <w:rFonts w:ascii="Georgia" w:cs="Georgia" w:eastAsia="Georgia" w:hAnsi="Georgia"/>
                <w:b w:val="false"/>
                <w:bCs w:val="false"/>
                <w:i/>
                <w:iCs/>
                <w:color w:val="0E3A4D"/>
                <w:sz w:val="21"/>
                <w:szCs w:val="21"/>
              </w:rPr>
              <w:t xml:space="preserve">Your due diligence process is among the most rigorous we’ve assessed. Clients describe a level of investment research thoroughness they haven’t experienced with previous advisors — this is an active referral driver you may not be fully capitalizing on.</w:t>
            </w:r>
          </w:p>
          <w:p>
            <w:pPr>
              <w:spacing w:after="80"/>
            </w:pPr>
            <w:r>
              <w:rPr>
                <w:rFonts w:ascii="Arial" w:cs="Arial" w:eastAsia="Arial" w:hAnsi="Arial"/>
                <w:b w:val="false"/>
                <w:bCs w:val="false"/>
                <w:i w:val="false"/>
                <w:iCs w:val="false"/>
                <w:color w:val="6E7A8F"/>
                <w:sz w:val="19"/>
                <w:szCs w:val="19"/>
              </w:rPr>
              <w:t xml:space="preserve">Expansion latitude: At Risk variant should focus on gaps in research process that clients can sense. Needs Work should note inconsistency in due diligence depth. Good should acknowledge solid process with room for visibility.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C6973B" w:sz="8"/>
              <w:bottom w:val="single" w:color="D0D7E0" w:sz="1"/>
              <w:right w:val="single" w:color="D0D7E0" w:sz="1"/>
            </w:tcBorders>
            <w:shd w:fill="FBF6ED" w:val="clear"/>
            <w:tcMar>
              <w:top w:type="dxa" w:w="120"/>
              <w:left w:type="dxa" w:w="200"/>
              <w:bottom w:type="dxa" w:w="120"/>
              <w:right w:type="dxa" w:w="200"/>
            </w:tcMar>
          </w:tcPr>
          <w:p>
            <w:pPr>
              <w:spacing w:after="60"/>
            </w:pPr>
            <w:r>
              <w:rPr>
                <w:rFonts w:ascii="Arial" w:cs="Arial" w:eastAsia="Arial" w:hAnsi="Arial"/>
                <w:b/>
                <w:bCs/>
                <w:color w:val="C6973B"/>
                <w:spacing w:val="60"/>
                <w:sz w:val="16"/>
                <w:szCs w:val="16"/>
              </w:rPr>
              <w:t xml:space="preserve">CLIENT PERSPECTIVE</w:t>
            </w:r>
          </w:p>
          <w:p>
            <w:pPr>
              <w:spacing w:after="80"/>
            </w:pPr>
            <w:r>
              <w:rPr>
                <w:rFonts w:ascii="Arial" w:cs="Arial" w:eastAsia="Arial" w:hAnsi="Arial"/>
                <w:b/>
                <w:bCs/>
                <w:i w:val="false"/>
                <w:iCs w:val="false"/>
                <w:color w:val="0E3A4D"/>
                <w:sz w:val="21"/>
                <w:szCs w:val="21"/>
              </w:rPr>
              <w:t xml:space="preserve">Root composite (Competitive):</w:t>
            </w:r>
          </w:p>
          <w:p>
            <w:pPr>
              <w:spacing w:after="80"/>
            </w:pPr>
            <w:r>
              <w:rPr>
                <w:rFonts w:ascii="Georgia" w:cs="Georgia" w:eastAsia="Georgia" w:hAnsi="Georgia"/>
                <w:b w:val="false"/>
                <w:bCs w:val="false"/>
                <w:i/>
                <w:iCs/>
                <w:color w:val="0E3A4D"/>
                <w:sz w:val="21"/>
                <w:szCs w:val="21"/>
              </w:rPr>
              <w:t xml:space="preserve">“He showed me the research behind every fund pick. No one else ever did that. I tell my friends about it.”</w:t>
            </w:r>
          </w:p>
          <w:p>
            <w:pPr>
              <w:spacing w:after="80"/>
            </w:pPr>
            <w:r>
              <w:rPr>
                <w:rFonts w:ascii="Arial" w:cs="Arial" w:eastAsia="Arial" w:hAnsi="Arial"/>
                <w:b w:val="false"/>
                <w:bCs w:val="false"/>
                <w:i w:val="false"/>
                <w:iCs w:val="false"/>
                <w:color w:val="6E7A8F"/>
                <w:sz w:val="19"/>
                <w:szCs w:val="19"/>
              </w:rPr>
              <w:t xml:space="preserve">Expansion latitude: At Risk: “I hope he’s doing his homework but I wouldn’t really know.” Good: “I know he’s thorough but I couldn’t tell you the specifics of how he picks funds.”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0E3A4D" w:sz="8"/>
              <w:bottom w:val="single" w:color="D0D7E0" w:sz="1"/>
              <w:right w:val="single" w:color="D0D7E0" w:sz="1"/>
            </w:tcBorders>
            <w:shd w:fill="F5F7FA" w:val="clear"/>
            <w:tcMar>
              <w:top w:type="dxa" w:w="120"/>
              <w:left w:type="dxa" w:w="200"/>
              <w:bottom w:type="dxa" w:w="120"/>
              <w:right w:type="dxa" w:w="200"/>
            </w:tcMar>
          </w:tcPr>
          <w:p>
            <w:pPr>
              <w:spacing w:after="60"/>
            </w:pPr>
            <w:r>
              <w:rPr>
                <w:rFonts w:ascii="Arial" w:cs="Arial" w:eastAsia="Arial" w:hAnsi="Arial"/>
                <w:b/>
                <w:bCs/>
                <w:color w:val="0E3A4D"/>
                <w:spacing w:val="60"/>
                <w:sz w:val="16"/>
                <w:szCs w:val="16"/>
              </w:rPr>
              <w:t xml:space="preserve">OBSERVATIONAL EVIDENCE</w:t>
            </w:r>
          </w:p>
          <w:p>
            <w:pPr>
              <w:spacing w:after="80"/>
            </w:pPr>
            <w:r>
              <w:rPr>
                <w:rFonts w:ascii="Arial" w:cs="Arial" w:eastAsia="Arial" w:hAnsi="Arial"/>
                <w:b/>
                <w:bCs/>
                <w:i w:val="false"/>
                <w:iCs w:val="false"/>
                <w:color w:val="0E3A4D"/>
                <w:sz w:val="21"/>
                <w:szCs w:val="21"/>
              </w:rPr>
              <w:t xml:space="preserve">Root observation (Competitive):</w:t>
            </w:r>
          </w:p>
          <w:p>
            <w:pPr>
              <w:spacing w:after="80"/>
            </w:pPr>
            <w:r>
              <w:rPr>
                <w:rFonts w:ascii="Arial" w:cs="Arial" w:eastAsia="Arial" w:hAnsi="Arial"/>
                <w:b w:val="false"/>
                <w:bCs w:val="false"/>
                <w:i w:val="false"/>
                <w:iCs w:val="false"/>
                <w:color w:val="3D4659"/>
                <w:sz w:val="21"/>
                <w:szCs w:val="21"/>
              </w:rPr>
              <w:t xml:space="preserve">In evaluated interactions, clients consistently referenced the advisor’s investment research process unprompted. Multiple clients described receiving documentation on manager selection criteria. One client specifically cited the due diligence presentation as the reason they consolidated assets.</w:t>
            </w:r>
          </w:p>
          <w:p>
            <w:pPr>
              <w:spacing w:after="80"/>
            </w:pPr>
            <w:r>
              <w:rPr>
                <w:rFonts w:ascii="Arial" w:cs="Arial" w:eastAsia="Arial" w:hAnsi="Arial"/>
                <w:b w:val="false"/>
                <w:bCs w:val="false"/>
                <w:i w:val="false"/>
                <w:iCs w:val="false"/>
                <w:color w:val="6E7A8F"/>
                <w:sz w:val="19"/>
                <w:szCs w:val="19"/>
              </w:rPr>
              <w:t xml:space="preserve">Expansion latitude: Maintain specificity across bands. Lower bands should note what’s absent — e.g., “No client could describe how their advisor selects investments” or “Clients assumed a simple screening process.”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BEHAVIORAL BENCHMARK</w:t>
            </w:r>
          </w:p>
          <w:p>
            <w:pPr>
              <w:spacing w:after="80"/>
            </w:pPr>
            <w:r>
              <w:rPr>
                <w:rFonts w:ascii="Arial" w:cs="Arial" w:eastAsia="Arial" w:hAnsi="Arial"/>
                <w:b/>
                <w:bCs/>
                <w:i w:val="false"/>
                <w:iCs w:val="false"/>
                <w:color w:val="0E3A4D"/>
                <w:sz w:val="21"/>
                <w:szCs w:val="21"/>
              </w:rPr>
              <w:t xml:space="preserve">Root benchmark:</w:t>
            </w:r>
          </w:p>
          <w:p>
            <w:pPr>
              <w:spacing w:after="80"/>
            </w:pPr>
            <w:r>
              <w:rPr>
                <w:rFonts w:ascii="Arial" w:cs="Arial" w:eastAsia="Arial" w:hAnsi="Arial"/>
                <w:b w:val="false"/>
                <w:bCs w:val="false"/>
                <w:i w:val="false"/>
                <w:iCs w:val="false"/>
                <w:color w:val="3D4659"/>
                <w:sz w:val="21"/>
                <w:szCs w:val="21"/>
              </w:rPr>
              <w:t xml:space="preserve">Top-5% advisors document their investment selection process and share a summary with clients at least annually. 76% use a standardized due diligence checklist that they walk clients through when adding new positions.</w:t>
            </w:r>
          </w:p>
          <w:p>
            <w:pPr>
              <w:spacing w:after="80"/>
            </w:pPr>
            <w:r>
              <w:rPr>
                <w:rFonts w:ascii="Arial" w:cs="Arial" w:eastAsia="Arial" w:hAnsi="Arial"/>
                <w:b w:val="false"/>
                <w:bCs w:val="false"/>
                <w:i w:val="false"/>
                <w:iCs w:val="false"/>
                <w:color w:val="6E7A8F"/>
                <w:sz w:val="19"/>
                <w:szCs w:val="19"/>
              </w:rPr>
              <w:t xml:space="preserve">Expansion latitude: Include behavioral data on how top advisors communicate investment changes, frequency of portfolio review presentations, and client-facing documentation practices.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RECOMMENDATION</w:t>
            </w:r>
          </w:p>
          <w:p>
            <w:pPr>
              <w:spacing w:after="80"/>
            </w:pPr>
            <w:r>
              <w:rPr>
                <w:rFonts w:ascii="Arial" w:cs="Arial" w:eastAsia="Arial" w:hAnsi="Arial"/>
                <w:b/>
                <w:bCs/>
                <w:i w:val="false"/>
                <w:iCs w:val="false"/>
                <w:color w:val="0E3A4D"/>
                <w:sz w:val="21"/>
                <w:szCs w:val="21"/>
              </w:rPr>
              <w:t xml:space="preserve">Root recommendation (Competitive):</w:t>
            </w:r>
          </w:p>
          <w:p>
            <w:pPr>
              <w:spacing w:after="80"/>
            </w:pPr>
            <w:r>
              <w:rPr>
                <w:rFonts w:ascii="Arial" w:cs="Arial" w:eastAsia="Arial" w:hAnsi="Arial"/>
                <w:b w:val="false"/>
                <w:bCs w:val="false"/>
                <w:i w:val="false"/>
                <w:iCs w:val="false"/>
                <w:color w:val="3D4659"/>
                <w:sz w:val="21"/>
                <w:szCs w:val="21"/>
              </w:rPr>
              <w:t xml:space="preserve">Your research rigor is already exceptional. The leverage opportunity is making it more visible — consider creating a quarterly “investment rationale” summary that clients can reference (and share). Advisors who formalized this saw a 23% increase in client-initiated referrals.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STRENGTH LEVERAGE NARRATIVE</w:t>
            </w:r>
          </w:p>
          <w:p>
            <w:pPr>
              <w:spacing w:after="80"/>
            </w:pPr>
            <w:r>
              <w:rPr>
                <w:rFonts w:ascii="Arial" w:cs="Arial" w:eastAsia="Arial" w:hAnsi="Arial"/>
                <w:b/>
                <w:bCs/>
                <w:i w:val="false"/>
                <w:iCs w:val="false"/>
                <w:color w:val="0E3A4D"/>
                <w:sz w:val="21"/>
                <w:szCs w:val="21"/>
              </w:rPr>
              <w:t xml:space="preserve">Root leverage (Competitive):</w:t>
            </w:r>
          </w:p>
          <w:p>
            <w:pPr>
              <w:spacing w:after="80"/>
            </w:pPr>
            <w:r>
              <w:rPr>
                <w:rFonts w:ascii="Arial" w:cs="Arial" w:eastAsia="Arial" w:hAnsi="Arial"/>
                <w:b w:val="false"/>
                <w:bCs w:val="false"/>
                <w:i w:val="false"/>
                <w:iCs w:val="false"/>
                <w:color w:val="3D4659"/>
                <w:sz w:val="21"/>
                <w:szCs w:val="21"/>
              </w:rPr>
              <w:t xml:space="preserve">Clients who know about your research process cite it as a top reason they stay — and the top reason they refer. The question is whether all your clients know this is happening behind the scenes. Formalizing your due diligence communication turns invisible rigor into visible differentiation.</w:t>
            </w:r>
          </w:p>
        </w:tc>
      </w:tr>
    </w:tbl>
    <w:p>
      <w:pPr>
        <w:spacing w:after="100"/>
      </w:pPr>
    </w:p>
    <w:p>
      <w:pPr>
        <w:pStyle w:val="Heading3"/>
      </w:pPr>
      <w:r>
        <w:t xml:space="preserve">Data Points</w:t>
      </w:r>
    </w:p>
    <w:p>
      <w:pPr>
        <w:pBdr>
          <w:bottom w:val="single" w:color="D0D7E0" w:sz="1" w:space="4"/>
        </w:pBdr>
        <w:spacing w:after="40"/>
      </w:pPr>
      <w:r>
        <w:rPr>
          <w:rFonts w:ascii="Arial" w:cs="Arial" w:eastAsia="Arial" w:hAnsi="Arial"/>
          <w:b/>
          <w:bCs/>
          <w:color w:val="0E3A4D"/>
          <w:sz w:val="22"/>
          <w:szCs w:val="22"/>
        </w:rPr>
        <w:t xml:space="preserve">Manager Vetting Depth</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The rigor of your process for researching and qualifying investment managers before client portfolios are exposed.</w:t>
      </w:r>
    </w:p>
    <w:p>
      <w:pPr>
        <w:spacing w:after="120"/>
      </w:pPr>
      <w:r>
        <w:rPr>
          <w:rFonts w:ascii="Arial" w:cs="Arial" w:eastAsia="Arial" w:hAnsi="Arial"/>
          <w:color w:val="6E7A8F"/>
          <w:sz w:val="18"/>
          <w:szCs w:val="18"/>
        </w:rPr>
        <w:t xml:space="preserve">Benchmarks: Average 68  |  Top 5%: 93</w:t>
      </w:r>
    </w:p>
    <w:p>
      <w:pPr>
        <w:pBdr>
          <w:bottom w:val="single" w:color="D0D7E0" w:sz="1" w:space="4"/>
        </w:pBdr>
        <w:spacing w:after="40"/>
      </w:pPr>
      <w:r>
        <w:rPr>
          <w:rFonts w:ascii="Arial" w:cs="Arial" w:eastAsia="Arial" w:hAnsi="Arial"/>
          <w:b/>
          <w:bCs/>
          <w:color w:val="0E3A4D"/>
          <w:sz w:val="22"/>
          <w:szCs w:val="22"/>
        </w:rPr>
        <w:t xml:space="preserve">Performance Attribution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well you identify what’s actually driving returns — separating manager skill from market conditions and benchmark drift.</w:t>
      </w:r>
    </w:p>
    <w:p>
      <w:pPr>
        <w:spacing w:after="120"/>
      </w:pPr>
      <w:r>
        <w:rPr>
          <w:rFonts w:ascii="Arial" w:cs="Arial" w:eastAsia="Arial" w:hAnsi="Arial"/>
          <w:color w:val="6E7A8F"/>
          <w:sz w:val="18"/>
          <w:szCs w:val="18"/>
        </w:rPr>
        <w:t xml:space="preserve">Benchmarks: Average 62  |  Top 5%: 91</w:t>
      </w:r>
    </w:p>
    <w:p>
      <w:pPr>
        <w:pBdr>
          <w:bottom w:val="single" w:color="D0D7E0" w:sz="1" w:space="4"/>
        </w:pBdr>
        <w:spacing w:after="40"/>
      </w:pPr>
      <w:r>
        <w:rPr>
          <w:rFonts w:ascii="Arial" w:cs="Arial" w:eastAsia="Arial" w:hAnsi="Arial"/>
          <w:b/>
          <w:bCs/>
          <w:color w:val="0E3A4D"/>
          <w:sz w:val="22"/>
          <w:szCs w:val="22"/>
        </w:rPr>
        <w:t xml:space="preserve">Alternative Evaluation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Your framework for assessing non-traditional investments and communicating their role and risk profile to clients.</w:t>
      </w:r>
    </w:p>
    <w:p>
      <w:pPr>
        <w:spacing w:after="120"/>
      </w:pPr>
      <w:r>
        <w:rPr>
          <w:rFonts w:ascii="Arial" w:cs="Arial" w:eastAsia="Arial" w:hAnsi="Arial"/>
          <w:color w:val="6E7A8F"/>
          <w:sz w:val="18"/>
          <w:szCs w:val="18"/>
        </w:rPr>
        <w:t xml:space="preserve">Benchmarks: Average 58  |  Top 5%: 90</w:t>
      </w:r>
    </w:p>
    <w:p>
      <w:pPr>
        <w:pBdr>
          <w:bottom w:val="single" w:color="D0D7E0" w:sz="1" w:space="4"/>
        </w:pBdr>
        <w:spacing w:after="40"/>
      </w:pPr>
      <w:r>
        <w:rPr>
          <w:rFonts w:ascii="Arial" w:cs="Arial" w:eastAsia="Arial" w:hAnsi="Arial"/>
          <w:b/>
          <w:bCs/>
          <w:color w:val="0E3A4D"/>
          <w:sz w:val="22"/>
          <w:szCs w:val="22"/>
        </w:rPr>
        <w:t xml:space="preserve">Ongoing Monitoring Rigor</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systematically you review existing holdings for continued suitability, not just initial selection quality.</w:t>
      </w:r>
    </w:p>
    <w:p>
      <w:pPr>
        <w:spacing w:after="120"/>
      </w:pPr>
      <w:r>
        <w:rPr>
          <w:rFonts w:ascii="Arial" w:cs="Arial" w:eastAsia="Arial" w:hAnsi="Arial"/>
          <w:color w:val="6E7A8F"/>
          <w:sz w:val="18"/>
          <w:szCs w:val="18"/>
        </w:rPr>
        <w:t xml:space="preserve">Benchmarks: Average 64  |  Top 5%: 92</w:t>
      </w:r>
    </w:p>
    <w:p>
      <w:pPr>
        <w:pBdr>
          <w:bottom w:val="single" w:color="D0D7E0" w:sz="1" w:space="4"/>
        </w:pBdr>
        <w:spacing w:after="40"/>
      </w:pPr>
      <w:r>
        <w:rPr>
          <w:rFonts w:ascii="Arial" w:cs="Arial" w:eastAsia="Arial" w:hAnsi="Arial"/>
          <w:b/>
          <w:bCs/>
          <w:color w:val="0E3A4D"/>
          <w:sz w:val="22"/>
          <w:szCs w:val="22"/>
        </w:rPr>
        <w:t xml:space="preserve">Research Communication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clients understand and can describe the research process behind their investment selections.</w:t>
      </w:r>
    </w:p>
    <w:p>
      <w:pPr>
        <w:spacing w:after="120"/>
      </w:pPr>
      <w:r>
        <w:rPr>
          <w:rFonts w:ascii="Arial" w:cs="Arial" w:eastAsia="Arial" w:hAnsi="Arial"/>
          <w:color w:val="6E7A8F"/>
          <w:sz w:val="18"/>
          <w:szCs w:val="18"/>
        </w:rPr>
        <w:t xml:space="preserve">Benchmarks: Average 55  |  Top 5%: 88</w:t>
      </w:r>
    </w:p>
    <w:p>
      <w:pPr>
        <w:spacing w:after="100"/>
      </w:pPr>
    </w:p>
    <w:p>
      <w:r>
        <w:br w:type="page"/>
      </w:r>
    </w:p>
    <w:p>
      <w:pPr>
        <w:pStyle w:val="Heading2"/>
      </w:pPr>
      <w:r>
        <w:t xml:space="preserve">Risk Management &amp; Portfolio Construction</w:t>
      </w:r>
    </w:p>
    <w:p>
      <w:pPr>
        <w:spacing w:after="160"/>
      </w:pPr>
      <w:r>
        <w:rPr>
          <w:rFonts w:ascii="Arial" w:cs="Arial" w:eastAsia="Arial" w:hAnsi="Arial"/>
          <w:color w:val="6E7A8F"/>
          <w:sz w:val="20"/>
          <w:szCs w:val="20"/>
        </w:rPr>
        <w:t xml:space="preserve">Downside protection, rebalancing discipline, and client risk communication</w:t>
      </w:r>
    </w:p>
    <w:p>
      <w:pPr>
        <w:spacing w:after="60"/>
      </w:pPr>
    </w:p>
    <w:p>
      <w:pPr>
        <w:shd w:fill="F5F7FA" w:val="clear"/>
        <w:spacing w:after="80"/>
      </w:pPr>
      <w:r>
        <w:rPr>
          <w:rFonts w:ascii="Arial" w:cs="Arial" w:eastAsia="Arial" w:hAnsi="Arial"/>
          <w:color w:val="6E7A8F"/>
          <w:sz w:val="18"/>
          <w:szCs w:val="18"/>
        </w:rPr>
        <w:t xml:space="preserve">  ⚠ Content below shows the root template. Band-adaptive variants (Competitive, Good, Needs Work, At Risk) to be generated from these roots.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DIAGNOSTIC NARRATIVE</w:t>
            </w:r>
          </w:p>
          <w:p>
            <w:pPr>
              <w:spacing w:after="80"/>
            </w:pPr>
            <w:r>
              <w:rPr>
                <w:rFonts w:ascii="Arial" w:cs="Arial" w:eastAsia="Arial" w:hAnsi="Arial"/>
                <w:b/>
                <w:bCs/>
                <w:i w:val="false"/>
                <w:iCs w:val="false"/>
                <w:color w:val="0E3A4D"/>
                <w:sz w:val="21"/>
                <w:szCs w:val="21"/>
              </w:rPr>
              <w:t xml:space="preserve">Root narrative (Competitive):</w:t>
            </w:r>
          </w:p>
          <w:p>
            <w:pPr>
              <w:spacing w:after="80"/>
            </w:pPr>
            <w:r>
              <w:rPr>
                <w:rFonts w:ascii="Georgia" w:cs="Georgia" w:eastAsia="Georgia" w:hAnsi="Georgia"/>
                <w:b w:val="false"/>
                <w:bCs w:val="false"/>
                <w:i/>
                <w:iCs/>
                <w:color w:val="0E3A4D"/>
                <w:sz w:val="21"/>
                <w:szCs w:val="21"/>
              </w:rPr>
              <w:t xml:space="preserve">Your risk framework is rigorous and well-structured. But clients mostly trust it on faith — they know you’re careful without understanding what that carefulness looks like in practice. The opportunity is making your risk management process visible to the people it protects.</w:t>
            </w:r>
          </w:p>
          <w:p>
            <w:pPr>
              <w:spacing w:after="80"/>
            </w:pPr>
            <w:r>
              <w:rPr>
                <w:rFonts w:ascii="Arial" w:cs="Arial" w:eastAsia="Arial" w:hAnsi="Arial"/>
                <w:b w:val="false"/>
                <w:bCs w:val="false"/>
                <w:i w:val="false"/>
                <w:iCs w:val="false"/>
                <w:color w:val="6E7A8F"/>
                <w:sz w:val="19"/>
                <w:szCs w:val="19"/>
              </w:rPr>
              <w:t xml:space="preserve">Expansion latitude: At Risk should focus on structural gaps in risk process. Needs Work on inconsistency. Good on communication gap between process and perception.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C6973B" w:sz="8"/>
              <w:bottom w:val="single" w:color="D0D7E0" w:sz="1"/>
              <w:right w:val="single" w:color="D0D7E0" w:sz="1"/>
            </w:tcBorders>
            <w:shd w:fill="FBF6ED" w:val="clear"/>
            <w:tcMar>
              <w:top w:type="dxa" w:w="120"/>
              <w:left w:type="dxa" w:w="200"/>
              <w:bottom w:type="dxa" w:w="120"/>
              <w:right w:type="dxa" w:w="200"/>
            </w:tcMar>
          </w:tcPr>
          <w:p>
            <w:pPr>
              <w:spacing w:after="60"/>
            </w:pPr>
            <w:r>
              <w:rPr>
                <w:rFonts w:ascii="Arial" w:cs="Arial" w:eastAsia="Arial" w:hAnsi="Arial"/>
                <w:b/>
                <w:bCs/>
                <w:color w:val="C6973B"/>
                <w:spacing w:val="60"/>
                <w:sz w:val="16"/>
                <w:szCs w:val="16"/>
              </w:rPr>
              <w:t xml:space="preserve">CLIENT PERSPECTIVE</w:t>
            </w:r>
          </w:p>
          <w:p>
            <w:pPr>
              <w:spacing w:after="80"/>
            </w:pPr>
            <w:r>
              <w:rPr>
                <w:rFonts w:ascii="Arial" w:cs="Arial" w:eastAsia="Arial" w:hAnsi="Arial"/>
                <w:b/>
                <w:bCs/>
                <w:i w:val="false"/>
                <w:iCs w:val="false"/>
                <w:color w:val="0E3A4D"/>
                <w:sz w:val="21"/>
                <w:szCs w:val="21"/>
              </w:rPr>
              <w:t xml:space="preserve">Root composite (Competitive):</w:t>
            </w:r>
          </w:p>
          <w:p>
            <w:pPr>
              <w:spacing w:after="80"/>
            </w:pPr>
            <w:r>
              <w:rPr>
                <w:rFonts w:ascii="Georgia" w:cs="Georgia" w:eastAsia="Georgia" w:hAnsi="Georgia"/>
                <w:b w:val="false"/>
                <w:bCs w:val="false"/>
                <w:i/>
                <w:iCs/>
                <w:color w:val="0E3A4D"/>
                <w:sz w:val="21"/>
                <w:szCs w:val="21"/>
              </w:rPr>
              <w:t xml:space="preserve">“I know he’s careful, but I couldn’t tell you what he’d actually do if the market dropped 30%. I just trust that he has a plan.”</w:t>
            </w:r>
          </w:p>
          <w:p>
            <w:pPr>
              <w:spacing w:after="80"/>
            </w:pPr>
            <w:r>
              <w:rPr>
                <w:rFonts w:ascii="Arial" w:cs="Arial" w:eastAsia="Arial" w:hAnsi="Arial"/>
                <w:b w:val="false"/>
                <w:bCs w:val="false"/>
                <w:i w:val="false"/>
                <w:iCs w:val="false"/>
                <w:color w:val="6E7A8F"/>
                <w:sz w:val="19"/>
                <w:szCs w:val="19"/>
              </w:rPr>
              <w:t xml:space="preserve">Expansion latitude: At Risk: “I’m honestly not sure there is a specific plan for a downturn.” Good: “He’s mentioned some things but I couldn’t explain them.” Competitive with high visibility: “He walked me through exactly what would happen in different scenarios.”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0E3A4D" w:sz="8"/>
              <w:bottom w:val="single" w:color="D0D7E0" w:sz="1"/>
              <w:right w:val="single" w:color="D0D7E0" w:sz="1"/>
            </w:tcBorders>
            <w:shd w:fill="F5F7FA" w:val="clear"/>
            <w:tcMar>
              <w:top w:type="dxa" w:w="120"/>
              <w:left w:type="dxa" w:w="200"/>
              <w:bottom w:type="dxa" w:w="120"/>
              <w:right w:type="dxa" w:w="200"/>
            </w:tcMar>
          </w:tcPr>
          <w:p>
            <w:pPr>
              <w:spacing w:after="60"/>
            </w:pPr>
            <w:r>
              <w:rPr>
                <w:rFonts w:ascii="Arial" w:cs="Arial" w:eastAsia="Arial" w:hAnsi="Arial"/>
                <w:b/>
                <w:bCs/>
                <w:color w:val="0E3A4D"/>
                <w:spacing w:val="60"/>
                <w:sz w:val="16"/>
                <w:szCs w:val="16"/>
              </w:rPr>
              <w:t xml:space="preserve">OBSERVATIONAL EVIDENCE</w:t>
            </w:r>
          </w:p>
          <w:p>
            <w:pPr>
              <w:spacing w:after="80"/>
            </w:pPr>
            <w:r>
              <w:rPr>
                <w:rFonts w:ascii="Arial" w:cs="Arial" w:eastAsia="Arial" w:hAnsi="Arial"/>
                <w:b/>
                <w:bCs/>
                <w:i w:val="false"/>
                <w:iCs w:val="false"/>
                <w:color w:val="0E3A4D"/>
                <w:sz w:val="21"/>
                <w:szCs w:val="21"/>
              </w:rPr>
              <w:t xml:space="preserve">Root observation (Competitive):</w:t>
            </w:r>
          </w:p>
          <w:p>
            <w:pPr>
              <w:spacing w:after="80"/>
            </w:pPr>
            <w:r>
              <w:rPr>
                <w:rFonts w:ascii="Arial" w:cs="Arial" w:eastAsia="Arial" w:hAnsi="Arial"/>
                <w:b w:val="false"/>
                <w:bCs w:val="false"/>
                <w:i w:val="false"/>
                <w:iCs w:val="false"/>
                <w:color w:val="3D4659"/>
                <w:sz w:val="21"/>
                <w:szCs w:val="21"/>
              </w:rPr>
              <w:t xml:space="preserve">The advisor’s risk management process is comprehensive and well-documented internally. However, in client interactions, risk communication was largely reactive — addressed when clients asked, rather than proactively framed. Clients expressed confidence in the advisor’s competence but could not articulate specific risk mitigation strategies in place.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BEHAVIORAL BENCHMARK</w:t>
            </w:r>
          </w:p>
          <w:p>
            <w:pPr>
              <w:spacing w:after="80"/>
            </w:pPr>
            <w:r>
              <w:rPr>
                <w:rFonts w:ascii="Arial" w:cs="Arial" w:eastAsia="Arial" w:hAnsi="Arial"/>
                <w:b/>
                <w:bCs/>
                <w:i w:val="false"/>
                <w:iCs w:val="false"/>
                <w:color w:val="0E3A4D"/>
                <w:sz w:val="21"/>
                <w:szCs w:val="21"/>
              </w:rPr>
              <w:t xml:space="preserve">Root benchmark:</w:t>
            </w:r>
          </w:p>
          <w:p>
            <w:pPr>
              <w:spacing w:after="80"/>
            </w:pPr>
            <w:r>
              <w:rPr>
                <w:rFonts w:ascii="Arial" w:cs="Arial" w:eastAsia="Arial" w:hAnsi="Arial"/>
                <w:b w:val="false"/>
                <w:bCs w:val="false"/>
                <w:i w:val="false"/>
                <w:iCs w:val="false"/>
                <w:color w:val="3D4659"/>
                <w:sz w:val="21"/>
                <w:szCs w:val="21"/>
              </w:rPr>
              <w:t xml:space="preserve">92% of top-5% advisors conduct proactive risk review conversations at least semi-annually, walking clients through scenario analysis results before market events occur. 71% provide a written “risk management summary” as part of their standard client communications.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RECOMMENDATION</w:t>
            </w:r>
          </w:p>
          <w:p>
            <w:pPr>
              <w:spacing w:after="80"/>
            </w:pPr>
            <w:r>
              <w:rPr>
                <w:rFonts w:ascii="Arial" w:cs="Arial" w:eastAsia="Arial" w:hAnsi="Arial"/>
                <w:b/>
                <w:bCs/>
                <w:i w:val="false"/>
                <w:iCs w:val="false"/>
                <w:color w:val="0E3A4D"/>
                <w:sz w:val="21"/>
                <w:szCs w:val="21"/>
              </w:rPr>
              <w:t xml:space="preserve">Root recommendation (Competitive):</w:t>
            </w:r>
          </w:p>
          <w:p>
            <w:pPr>
              <w:spacing w:after="80"/>
            </w:pPr>
            <w:r>
              <w:rPr>
                <w:rFonts w:ascii="Arial" w:cs="Arial" w:eastAsia="Arial" w:hAnsi="Arial"/>
                <w:b w:val="false"/>
                <w:bCs w:val="false"/>
                <w:i w:val="false"/>
                <w:iCs w:val="false"/>
                <w:color w:val="3D4659"/>
                <w:sz w:val="21"/>
                <w:szCs w:val="21"/>
              </w:rPr>
              <w:t xml:space="preserve">Consider adding a semi-annual “what-if” conversation to your client meetings — walking clients through 2–3 market scenarios and explaining specifically what their portfolio would do in each. This transforms invisible competence into visible confidence.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STRENGTH LEVERAGE NARRATIVE</w:t>
            </w:r>
          </w:p>
          <w:p>
            <w:pPr>
              <w:spacing w:after="80"/>
            </w:pPr>
            <w:r>
              <w:rPr>
                <w:rFonts w:ascii="Arial" w:cs="Arial" w:eastAsia="Arial" w:hAnsi="Arial"/>
                <w:b/>
                <w:bCs/>
                <w:i w:val="false"/>
                <w:iCs w:val="false"/>
                <w:color w:val="0E3A4D"/>
                <w:sz w:val="21"/>
                <w:szCs w:val="21"/>
              </w:rPr>
              <w:t xml:space="preserve">Root leverage (Competitive):</w:t>
            </w:r>
          </w:p>
          <w:p>
            <w:pPr>
              <w:spacing w:after="80"/>
            </w:pPr>
            <w:r>
              <w:rPr>
                <w:rFonts w:ascii="Arial" w:cs="Arial" w:eastAsia="Arial" w:hAnsi="Arial"/>
                <w:b w:val="false"/>
                <w:bCs w:val="false"/>
                <w:i w:val="false"/>
                <w:iCs w:val="false"/>
                <w:color w:val="3D4659"/>
                <w:sz w:val="21"/>
                <w:szCs w:val="21"/>
              </w:rPr>
              <w:t xml:space="preserve">Your stress testing rigor exceeds 95% of advisors assessed. Clients who understand this process cite it as a primary reason they don’t panic during volatility. Making this visible to all clients could reduce anxiety-driven outreach during downturns by up to 40%.</w:t>
            </w:r>
          </w:p>
        </w:tc>
      </w:tr>
    </w:tbl>
    <w:p>
      <w:pPr>
        <w:spacing w:after="100"/>
      </w:pPr>
    </w:p>
    <w:p>
      <w:pPr>
        <w:pStyle w:val="Heading3"/>
      </w:pPr>
      <w:r>
        <w:t xml:space="preserve">Data Points</w:t>
      </w:r>
    </w:p>
    <w:p>
      <w:pPr>
        <w:pBdr>
          <w:bottom w:val="single" w:color="D0D7E0" w:sz="1" w:space="4"/>
        </w:pBdr>
        <w:spacing w:after="40"/>
      </w:pPr>
      <w:r>
        <w:rPr>
          <w:rFonts w:ascii="Arial" w:cs="Arial" w:eastAsia="Arial" w:hAnsi="Arial"/>
          <w:b/>
          <w:bCs/>
          <w:color w:val="0E3A4D"/>
          <w:sz w:val="22"/>
          <w:szCs w:val="22"/>
        </w:rPr>
        <w:t xml:space="preserve">Portfolio Stress Testing</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you run scenario analyses on portfolios and how effectively you communicate those results to clients.</w:t>
      </w:r>
    </w:p>
    <w:p>
      <w:pPr>
        <w:spacing w:after="120"/>
      </w:pPr>
      <w:r>
        <w:rPr>
          <w:rFonts w:ascii="Arial" w:cs="Arial" w:eastAsia="Arial" w:hAnsi="Arial"/>
          <w:color w:val="6E7A8F"/>
          <w:sz w:val="18"/>
          <w:szCs w:val="18"/>
        </w:rPr>
        <w:t xml:space="preserve">Benchmarks: Average 60  |  Top 5%: 93</w:t>
      </w:r>
    </w:p>
    <w:p>
      <w:pPr>
        <w:pBdr>
          <w:bottom w:val="single" w:color="D0D7E0" w:sz="1" w:space="4"/>
        </w:pBdr>
        <w:spacing w:after="40"/>
      </w:pPr>
      <w:r>
        <w:rPr>
          <w:rFonts w:ascii="Arial" w:cs="Arial" w:eastAsia="Arial" w:hAnsi="Arial"/>
          <w:b/>
          <w:bCs/>
          <w:color w:val="0E3A4D"/>
          <w:sz w:val="22"/>
          <w:szCs w:val="22"/>
        </w:rPr>
        <w:t xml:space="preserve">Rebalancing Discipline</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The consistency and methodology behind how and when you rebalance client portfolios back to target allocations.</w:t>
      </w:r>
    </w:p>
    <w:p>
      <w:pPr>
        <w:spacing w:after="120"/>
      </w:pPr>
      <w:r>
        <w:rPr>
          <w:rFonts w:ascii="Arial" w:cs="Arial" w:eastAsia="Arial" w:hAnsi="Arial"/>
          <w:color w:val="6E7A8F"/>
          <w:sz w:val="18"/>
          <w:szCs w:val="18"/>
        </w:rPr>
        <w:t xml:space="preserve">Benchmarks: Average 66  |  Top 5%: 92</w:t>
      </w:r>
    </w:p>
    <w:p>
      <w:pPr>
        <w:pBdr>
          <w:bottom w:val="single" w:color="D0D7E0" w:sz="1" w:space="4"/>
        </w:pBdr>
        <w:spacing w:after="40"/>
      </w:pPr>
      <w:r>
        <w:rPr>
          <w:rFonts w:ascii="Arial" w:cs="Arial" w:eastAsia="Arial" w:hAnsi="Arial"/>
          <w:b/>
          <w:bCs/>
          <w:color w:val="0E3A4D"/>
          <w:sz w:val="22"/>
          <w:szCs w:val="22"/>
        </w:rPr>
        <w:t xml:space="preserve">Downside Communication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proactively and clearly you prepare clients for potential losses before market downturns occur.</w:t>
      </w:r>
    </w:p>
    <w:p>
      <w:pPr>
        <w:spacing w:after="120"/>
      </w:pPr>
      <w:r>
        <w:rPr>
          <w:rFonts w:ascii="Arial" w:cs="Arial" w:eastAsia="Arial" w:hAnsi="Arial"/>
          <w:color w:val="6E7A8F"/>
          <w:sz w:val="18"/>
          <w:szCs w:val="18"/>
        </w:rPr>
        <w:t xml:space="preserve">Benchmarks: Average 52  |  Top 5%: 88</w:t>
      </w:r>
    </w:p>
    <w:p>
      <w:pPr>
        <w:pBdr>
          <w:bottom w:val="single" w:color="D0D7E0" w:sz="1" w:space="4"/>
        </w:pBdr>
        <w:spacing w:after="40"/>
      </w:pPr>
      <w:r>
        <w:rPr>
          <w:rFonts w:ascii="Arial" w:cs="Arial" w:eastAsia="Arial" w:hAnsi="Arial"/>
          <w:b/>
          <w:bCs/>
          <w:color w:val="0E3A4D"/>
          <w:sz w:val="22"/>
          <w:szCs w:val="22"/>
        </w:rPr>
        <w:t xml:space="preserve">Risk Tolerance Alignment</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actual portfolio risk levels match stated client risk tolerance — and whether clients understand this alignment.</w:t>
      </w:r>
    </w:p>
    <w:p>
      <w:pPr>
        <w:spacing w:after="120"/>
      </w:pPr>
      <w:r>
        <w:rPr>
          <w:rFonts w:ascii="Arial" w:cs="Arial" w:eastAsia="Arial" w:hAnsi="Arial"/>
          <w:color w:val="6E7A8F"/>
          <w:sz w:val="18"/>
          <w:szCs w:val="18"/>
        </w:rPr>
        <w:t xml:space="preserve">Benchmarks: Average 63  |  Top 5%: 91</w:t>
      </w:r>
    </w:p>
    <w:p>
      <w:pPr>
        <w:pBdr>
          <w:bottom w:val="single" w:color="D0D7E0" w:sz="1" w:space="4"/>
        </w:pBdr>
        <w:spacing w:after="40"/>
      </w:pPr>
      <w:r>
        <w:rPr>
          <w:rFonts w:ascii="Arial" w:cs="Arial" w:eastAsia="Arial" w:hAnsi="Arial"/>
          <w:b/>
          <w:bCs/>
          <w:color w:val="0E3A4D"/>
          <w:sz w:val="22"/>
          <w:szCs w:val="22"/>
        </w:rPr>
        <w:t xml:space="preserve">Drawdown Recovery Framing</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you contextualize losses when they occur — whether clients understand recovery expectations and timelines.</w:t>
      </w:r>
    </w:p>
    <w:p>
      <w:pPr>
        <w:spacing w:after="120"/>
      </w:pPr>
      <w:r>
        <w:rPr>
          <w:rFonts w:ascii="Arial" w:cs="Arial" w:eastAsia="Arial" w:hAnsi="Arial"/>
          <w:color w:val="6E7A8F"/>
          <w:sz w:val="18"/>
          <w:szCs w:val="18"/>
        </w:rPr>
        <w:t xml:space="preserve">Benchmarks: Average 48  |  Top 5%: 85</w:t>
      </w:r>
    </w:p>
    <w:p>
      <w:pPr>
        <w:spacing w:after="100"/>
      </w:pPr>
    </w:p>
    <w:p>
      <w:r>
        <w:br w:type="page"/>
      </w:r>
    </w:p>
    <w:p>
      <w:pPr>
        <w:pStyle w:val="Heading2"/>
      </w:pPr>
      <w:r>
        <w:t xml:space="preserve">Client Service &amp; Communication</w:t>
      </w:r>
    </w:p>
    <w:p>
      <w:pPr>
        <w:spacing w:after="160"/>
      </w:pPr>
      <w:r>
        <w:rPr>
          <w:rFonts w:ascii="Arial" w:cs="Arial" w:eastAsia="Arial" w:hAnsi="Arial"/>
          <w:color w:val="6E7A8F"/>
          <w:sz w:val="20"/>
          <w:szCs w:val="20"/>
        </w:rPr>
        <w:t xml:space="preserve">Meeting quality, responsiveness, personalization, and ongoing relationship management</w:t>
      </w:r>
    </w:p>
    <w:p>
      <w:pPr>
        <w:spacing w:after="60"/>
      </w:pPr>
    </w:p>
    <w:p>
      <w:pPr>
        <w:shd w:fill="F5F7FA" w:val="clear"/>
        <w:spacing w:after="80"/>
      </w:pPr>
      <w:r>
        <w:rPr>
          <w:rFonts w:ascii="Arial" w:cs="Arial" w:eastAsia="Arial" w:hAnsi="Arial"/>
          <w:color w:val="6E7A8F"/>
          <w:sz w:val="18"/>
          <w:szCs w:val="18"/>
        </w:rPr>
        <w:t xml:space="preserve">  ⚠ Content below shows the root template. Band-adaptive variants (Competitive, Good, Needs Work, At Risk) to be generated from these roots.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DIAGNOSTIC NARRATIVE</w:t>
            </w:r>
          </w:p>
          <w:p>
            <w:pPr>
              <w:spacing w:after="80"/>
            </w:pPr>
            <w:r>
              <w:rPr>
                <w:rFonts w:ascii="Arial" w:cs="Arial" w:eastAsia="Arial" w:hAnsi="Arial"/>
                <w:b/>
                <w:bCs/>
                <w:i w:val="false"/>
                <w:iCs w:val="false"/>
                <w:color w:val="0E3A4D"/>
                <w:sz w:val="21"/>
                <w:szCs w:val="21"/>
              </w:rPr>
              <w:t xml:space="preserve">Root narrative (Good):</w:t>
            </w:r>
          </w:p>
          <w:p>
            <w:pPr>
              <w:spacing w:after="80"/>
            </w:pPr>
            <w:r>
              <w:rPr>
                <w:rFonts w:ascii="Georgia" w:cs="Georgia" w:eastAsia="Georgia" w:hAnsi="Georgia"/>
                <w:b w:val="false"/>
                <w:bCs w:val="false"/>
                <w:i/>
                <w:iCs/>
                <w:color w:val="0E3A4D"/>
                <w:sz w:val="21"/>
                <w:szCs w:val="21"/>
              </w:rPr>
              <w:t xml:space="preserve">Clients consistently describe you as responsive and well-prepared. Your meetings feel personalized and thorough. The gap to top performers is in proactive communication — reaching out before clients need to ask, and creating touchpoints that reinforce the relationship between scheduled meetings.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C6973B" w:sz="8"/>
              <w:bottom w:val="single" w:color="D0D7E0" w:sz="1"/>
              <w:right w:val="single" w:color="D0D7E0" w:sz="1"/>
            </w:tcBorders>
            <w:shd w:fill="FBF6ED" w:val="clear"/>
            <w:tcMar>
              <w:top w:type="dxa" w:w="120"/>
              <w:left w:type="dxa" w:w="200"/>
              <w:bottom w:type="dxa" w:w="120"/>
              <w:right w:type="dxa" w:w="200"/>
            </w:tcMar>
          </w:tcPr>
          <w:p>
            <w:pPr>
              <w:spacing w:after="60"/>
            </w:pPr>
            <w:r>
              <w:rPr>
                <w:rFonts w:ascii="Arial" w:cs="Arial" w:eastAsia="Arial" w:hAnsi="Arial"/>
                <w:b/>
                <w:bCs/>
                <w:color w:val="C6973B"/>
                <w:spacing w:val="60"/>
                <w:sz w:val="16"/>
                <w:szCs w:val="16"/>
              </w:rPr>
              <w:t xml:space="preserve">CLIENT PERSPECTIVE</w:t>
            </w:r>
          </w:p>
          <w:p>
            <w:pPr>
              <w:spacing w:after="80"/>
            </w:pPr>
            <w:r>
              <w:rPr>
                <w:rFonts w:ascii="Arial" w:cs="Arial" w:eastAsia="Arial" w:hAnsi="Arial"/>
                <w:b/>
                <w:bCs/>
                <w:i w:val="false"/>
                <w:iCs w:val="false"/>
                <w:color w:val="0E3A4D"/>
                <w:sz w:val="21"/>
                <w:szCs w:val="21"/>
              </w:rPr>
              <w:t xml:space="preserve">Root composite (Good):</w:t>
            </w:r>
          </w:p>
          <w:p>
            <w:pPr>
              <w:spacing w:after="80"/>
            </w:pPr>
            <w:r>
              <w:rPr>
                <w:rFonts w:ascii="Georgia" w:cs="Georgia" w:eastAsia="Georgia" w:hAnsi="Georgia"/>
                <w:b w:val="false"/>
                <w:bCs w:val="false"/>
                <w:i/>
                <w:iCs/>
                <w:color w:val="0E3A4D"/>
                <w:sz w:val="21"/>
                <w:szCs w:val="21"/>
              </w:rPr>
              <w:t xml:space="preserve">“He’s always prepared when we meet, and I feel like he listens. I just wish I heard from him more between our quarterly calls.”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0E3A4D" w:sz="8"/>
              <w:bottom w:val="single" w:color="D0D7E0" w:sz="1"/>
              <w:right w:val="single" w:color="D0D7E0" w:sz="1"/>
            </w:tcBorders>
            <w:shd w:fill="F5F7FA" w:val="clear"/>
            <w:tcMar>
              <w:top w:type="dxa" w:w="120"/>
              <w:left w:type="dxa" w:w="200"/>
              <w:bottom w:type="dxa" w:w="120"/>
              <w:right w:type="dxa" w:w="200"/>
            </w:tcMar>
          </w:tcPr>
          <w:p>
            <w:pPr>
              <w:spacing w:after="60"/>
            </w:pPr>
            <w:r>
              <w:rPr>
                <w:rFonts w:ascii="Arial" w:cs="Arial" w:eastAsia="Arial" w:hAnsi="Arial"/>
                <w:b/>
                <w:bCs/>
                <w:color w:val="0E3A4D"/>
                <w:spacing w:val="60"/>
                <w:sz w:val="16"/>
                <w:szCs w:val="16"/>
              </w:rPr>
              <w:t xml:space="preserve">OBSERVATIONAL EVIDENCE</w:t>
            </w:r>
          </w:p>
          <w:p>
            <w:pPr>
              <w:spacing w:after="80"/>
            </w:pPr>
            <w:r>
              <w:rPr>
                <w:rFonts w:ascii="Arial" w:cs="Arial" w:eastAsia="Arial" w:hAnsi="Arial"/>
                <w:b/>
                <w:bCs/>
                <w:i w:val="false"/>
                <w:iCs w:val="false"/>
                <w:color w:val="0E3A4D"/>
                <w:sz w:val="21"/>
                <w:szCs w:val="21"/>
              </w:rPr>
              <w:t xml:space="preserve">Root observation (Good):</w:t>
            </w:r>
          </w:p>
          <w:p>
            <w:pPr>
              <w:spacing w:after="80"/>
            </w:pPr>
            <w:r>
              <w:rPr>
                <w:rFonts w:ascii="Arial" w:cs="Arial" w:eastAsia="Arial" w:hAnsi="Arial"/>
                <w:b w:val="false"/>
                <w:bCs w:val="false"/>
                <w:i w:val="false"/>
                <w:iCs w:val="false"/>
                <w:color w:val="3D4659"/>
                <w:sz w:val="21"/>
                <w:szCs w:val="21"/>
              </w:rPr>
              <w:t xml:space="preserve">Client meetings were well-structured with personalized agendas. Response times to client inquiries averaged under 4 hours. However, proactive outreach between scheduled meetings was limited — clients reported that most communication was initiated by them rather than the advisor.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BEHAVIORAL BENCHMARK</w:t>
            </w:r>
          </w:p>
          <w:p>
            <w:pPr>
              <w:spacing w:after="80"/>
            </w:pPr>
            <w:r>
              <w:rPr>
                <w:rFonts w:ascii="Arial" w:cs="Arial" w:eastAsia="Arial" w:hAnsi="Arial"/>
                <w:b/>
                <w:bCs/>
                <w:i w:val="false"/>
                <w:iCs w:val="false"/>
                <w:color w:val="0E3A4D"/>
                <w:sz w:val="21"/>
                <w:szCs w:val="21"/>
              </w:rPr>
              <w:t xml:space="preserve">Root benchmark:</w:t>
            </w:r>
          </w:p>
          <w:p>
            <w:pPr>
              <w:spacing w:after="80"/>
            </w:pPr>
            <w:r>
              <w:rPr>
                <w:rFonts w:ascii="Arial" w:cs="Arial" w:eastAsia="Arial" w:hAnsi="Arial"/>
                <w:b w:val="false"/>
                <w:bCs w:val="false"/>
                <w:i w:val="false"/>
                <w:iCs w:val="false"/>
                <w:color w:val="3D4659"/>
                <w:sz w:val="21"/>
                <w:szCs w:val="21"/>
              </w:rPr>
              <w:t xml:space="preserve">Top-5% advisors average 2.3 proactive touchpoints per quarter per client beyond scheduled meetings. These range from brief market context emails to personalized financial planning nudges triggered by life events or market conditions.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RECOMMENDATION</w:t>
            </w:r>
          </w:p>
          <w:p>
            <w:pPr>
              <w:spacing w:after="80"/>
            </w:pPr>
            <w:r>
              <w:rPr>
                <w:rFonts w:ascii="Arial" w:cs="Arial" w:eastAsia="Arial" w:hAnsi="Arial"/>
                <w:b/>
                <w:bCs/>
                <w:i w:val="false"/>
                <w:iCs w:val="false"/>
                <w:color w:val="0E3A4D"/>
                <w:sz w:val="21"/>
                <w:szCs w:val="21"/>
              </w:rPr>
              <w:t xml:space="preserve">Root recommendation (Good):</w:t>
            </w:r>
          </w:p>
          <w:p>
            <w:pPr>
              <w:spacing w:after="80"/>
            </w:pPr>
            <w:r>
              <w:rPr>
                <w:rFonts w:ascii="Arial" w:cs="Arial" w:eastAsia="Arial" w:hAnsi="Arial"/>
                <w:b w:val="false"/>
                <w:bCs w:val="false"/>
                <w:i w:val="false"/>
                <w:iCs w:val="false"/>
                <w:color w:val="3D4659"/>
                <w:sz w:val="21"/>
                <w:szCs w:val="21"/>
              </w:rPr>
              <w:t xml:space="preserve">Introduce one proactive touchpoint per month per client — even a brief, personalized note. Advisors who moved from reactive to proactive communication saw client satisfaction scores increase an average of 18 points and reduced client-initiated “just checking in” calls by 35%.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STRENGTH LEVERAGE NARRATIVE</w:t>
            </w:r>
          </w:p>
          <w:p>
            <w:pPr>
              <w:spacing w:after="80"/>
            </w:pPr>
            <w:r>
              <w:rPr>
                <w:rFonts w:ascii="Arial" w:cs="Arial" w:eastAsia="Arial" w:hAnsi="Arial"/>
                <w:b/>
                <w:bCs/>
                <w:i w:val="false"/>
                <w:iCs w:val="false"/>
                <w:color w:val="0E3A4D"/>
                <w:sz w:val="21"/>
                <w:szCs w:val="21"/>
              </w:rPr>
              <w:t xml:space="preserve">Root leverage (Competitive):</w:t>
            </w:r>
          </w:p>
          <w:p>
            <w:pPr>
              <w:spacing w:after="80"/>
            </w:pPr>
            <w:r>
              <w:rPr>
                <w:rFonts w:ascii="Arial" w:cs="Arial" w:eastAsia="Arial" w:hAnsi="Arial"/>
                <w:b w:val="false"/>
                <w:bCs w:val="false"/>
                <w:i w:val="false"/>
                <w:iCs w:val="false"/>
                <w:color w:val="3D4659"/>
                <w:sz w:val="21"/>
                <w:szCs w:val="21"/>
              </w:rPr>
              <w:t xml:space="preserve">Every meeting feels tailored. Clients consistently note that you arrive with a personalized agenda — a behavior top advisors use to make every interaction feel high-touch. Clients who experience this level of preparation are 2.7x more likely to consolidate additional assets.</w:t>
            </w:r>
          </w:p>
        </w:tc>
      </w:tr>
    </w:tbl>
    <w:p>
      <w:pPr>
        <w:spacing w:after="100"/>
      </w:pPr>
    </w:p>
    <w:p>
      <w:pPr>
        <w:pStyle w:val="Heading3"/>
      </w:pPr>
      <w:r>
        <w:t xml:space="preserve">Data Points</w:t>
      </w:r>
    </w:p>
    <w:p>
      <w:pPr>
        <w:pBdr>
          <w:bottom w:val="single" w:color="D0D7E0" w:sz="1" w:space="4"/>
        </w:pBdr>
        <w:spacing w:after="40"/>
      </w:pPr>
      <w:r>
        <w:rPr>
          <w:rFonts w:ascii="Arial" w:cs="Arial" w:eastAsia="Arial" w:hAnsi="Arial"/>
          <w:b/>
          <w:bCs/>
          <w:color w:val="0E3A4D"/>
          <w:sz w:val="22"/>
          <w:szCs w:val="22"/>
        </w:rPr>
        <w:t xml:space="preserve">Meeting Preparation Quality</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thoroughly you prepare personalized agendas and materials before each client meeting.</w:t>
      </w:r>
    </w:p>
    <w:p>
      <w:pPr>
        <w:spacing w:after="120"/>
      </w:pPr>
      <w:r>
        <w:rPr>
          <w:rFonts w:ascii="Arial" w:cs="Arial" w:eastAsia="Arial" w:hAnsi="Arial"/>
          <w:color w:val="6E7A8F"/>
          <w:sz w:val="18"/>
          <w:szCs w:val="18"/>
        </w:rPr>
        <w:t xml:space="preserve">Benchmarks: Average 62  |  Top 5%: 94</w:t>
      </w:r>
    </w:p>
    <w:p>
      <w:pPr>
        <w:pBdr>
          <w:bottom w:val="single" w:color="D0D7E0" w:sz="1" w:space="4"/>
        </w:pBdr>
        <w:spacing w:after="40"/>
      </w:pPr>
      <w:r>
        <w:rPr>
          <w:rFonts w:ascii="Arial" w:cs="Arial" w:eastAsia="Arial" w:hAnsi="Arial"/>
          <w:b/>
          <w:bCs/>
          <w:color w:val="0E3A4D"/>
          <w:sz w:val="22"/>
          <w:szCs w:val="22"/>
        </w:rPr>
        <w:t xml:space="preserve">Response Timeliness</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quickly you respond to client inquiries and whether response quality is maintained under speed.</w:t>
      </w:r>
    </w:p>
    <w:p>
      <w:pPr>
        <w:spacing w:after="120"/>
      </w:pPr>
      <w:r>
        <w:rPr>
          <w:rFonts w:ascii="Arial" w:cs="Arial" w:eastAsia="Arial" w:hAnsi="Arial"/>
          <w:color w:val="6E7A8F"/>
          <w:sz w:val="18"/>
          <w:szCs w:val="18"/>
        </w:rPr>
        <w:t xml:space="preserve">Benchmarks: Average 71  |  Top 5%: 95</w:t>
      </w:r>
    </w:p>
    <w:p>
      <w:pPr>
        <w:pBdr>
          <w:bottom w:val="single" w:color="D0D7E0" w:sz="1" w:space="4"/>
        </w:pBdr>
        <w:spacing w:after="40"/>
      </w:pPr>
      <w:r>
        <w:rPr>
          <w:rFonts w:ascii="Arial" w:cs="Arial" w:eastAsia="Arial" w:hAnsi="Arial"/>
          <w:b/>
          <w:bCs/>
          <w:color w:val="0E3A4D"/>
          <w:sz w:val="22"/>
          <w:szCs w:val="22"/>
        </w:rPr>
        <w:t xml:space="preserve">Proactive Outreach Frequency</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often you initiate communication with clients outside of scheduled meetings or requests.</w:t>
      </w:r>
    </w:p>
    <w:p>
      <w:pPr>
        <w:spacing w:after="120"/>
      </w:pPr>
      <w:r>
        <w:rPr>
          <w:rFonts w:ascii="Arial" w:cs="Arial" w:eastAsia="Arial" w:hAnsi="Arial"/>
          <w:color w:val="6E7A8F"/>
          <w:sz w:val="18"/>
          <w:szCs w:val="18"/>
        </w:rPr>
        <w:t xml:space="preserve">Benchmarks: Average 45  |  Top 5%: 87</w:t>
      </w:r>
    </w:p>
    <w:p>
      <w:pPr>
        <w:pBdr>
          <w:bottom w:val="single" w:color="D0D7E0" w:sz="1" w:space="4"/>
        </w:pBdr>
        <w:spacing w:after="40"/>
      </w:pPr>
      <w:r>
        <w:rPr>
          <w:rFonts w:ascii="Arial" w:cs="Arial" w:eastAsia="Arial" w:hAnsi="Arial"/>
          <w:b/>
          <w:bCs/>
          <w:color w:val="0E3A4D"/>
          <w:sz w:val="22"/>
          <w:szCs w:val="22"/>
        </w:rPr>
        <w:t xml:space="preserve">Communication Personalization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your communications reference client-specific details, goals, and circumstances — or feel templated.</w:t>
      </w:r>
    </w:p>
    <w:p>
      <w:pPr>
        <w:spacing w:after="120"/>
      </w:pPr>
      <w:r>
        <w:rPr>
          <w:rFonts w:ascii="Arial" w:cs="Arial" w:eastAsia="Arial" w:hAnsi="Arial"/>
          <w:color w:val="6E7A8F"/>
          <w:sz w:val="18"/>
          <w:szCs w:val="18"/>
        </w:rPr>
        <w:t xml:space="preserve">Benchmarks: Average 58  |  Top 5%: 91</w:t>
      </w:r>
    </w:p>
    <w:p>
      <w:pPr>
        <w:pBdr>
          <w:bottom w:val="single" w:color="D0D7E0" w:sz="1" w:space="4"/>
        </w:pBdr>
        <w:spacing w:after="40"/>
      </w:pPr>
      <w:r>
        <w:rPr>
          <w:rFonts w:ascii="Arial" w:cs="Arial" w:eastAsia="Arial" w:hAnsi="Arial"/>
          <w:b/>
          <w:bCs/>
          <w:color w:val="0E3A4D"/>
          <w:sz w:val="22"/>
          <w:szCs w:val="22"/>
        </w:rPr>
        <w:t xml:space="preserve">Post-Meeting Follow-Through</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action items from meetings are documented, communicated, and completed on the timeline promised.</w:t>
      </w:r>
    </w:p>
    <w:p>
      <w:pPr>
        <w:spacing w:after="120"/>
      </w:pPr>
      <w:r>
        <w:rPr>
          <w:rFonts w:ascii="Arial" w:cs="Arial" w:eastAsia="Arial" w:hAnsi="Arial"/>
          <w:color w:val="6E7A8F"/>
          <w:sz w:val="18"/>
          <w:szCs w:val="18"/>
        </w:rPr>
        <w:t xml:space="preserve">Benchmarks: Average 60  |  Top 5%: 93</w:t>
      </w:r>
    </w:p>
    <w:p>
      <w:pPr>
        <w:spacing w:after="100"/>
      </w:pPr>
    </w:p>
    <w:p>
      <w:r>
        <w:br w:type="page"/>
      </w:r>
    </w:p>
    <w:p>
      <w:pPr>
        <w:pStyle w:val="Heading2"/>
      </w:pPr>
      <w:r>
        <w:t xml:space="preserve">Firm Operations &amp; Technology</w:t>
      </w:r>
    </w:p>
    <w:p>
      <w:pPr>
        <w:spacing w:after="160"/>
      </w:pPr>
      <w:r>
        <w:rPr>
          <w:rFonts w:ascii="Arial" w:cs="Arial" w:eastAsia="Arial" w:hAnsi="Arial"/>
          <w:color w:val="6E7A8F"/>
          <w:sz w:val="20"/>
          <w:szCs w:val="20"/>
        </w:rPr>
        <w:t xml:space="preserve">Operational efficiency, technology adoption, compliance communication, and scalability</w:t>
      </w:r>
    </w:p>
    <w:p>
      <w:pPr>
        <w:spacing w:after="60"/>
      </w:pPr>
    </w:p>
    <w:p>
      <w:pPr>
        <w:shd w:fill="F5F7FA" w:val="clear"/>
        <w:spacing w:after="80"/>
      </w:pPr>
      <w:r>
        <w:rPr>
          <w:rFonts w:ascii="Arial" w:cs="Arial" w:eastAsia="Arial" w:hAnsi="Arial"/>
          <w:color w:val="6E7A8F"/>
          <w:sz w:val="18"/>
          <w:szCs w:val="18"/>
        </w:rPr>
        <w:t xml:space="preserve">  ⚠ Content below shows the root template. Band-adaptive variants (Competitive, Good, Needs Work, At Risk) to be generated from these roots.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DIAGNOSTIC NARRATIVE</w:t>
            </w:r>
          </w:p>
          <w:p>
            <w:pPr>
              <w:spacing w:after="80"/>
            </w:pPr>
            <w:r>
              <w:rPr>
                <w:rFonts w:ascii="Arial" w:cs="Arial" w:eastAsia="Arial" w:hAnsi="Arial"/>
                <w:b/>
                <w:bCs/>
                <w:i w:val="false"/>
                <w:iCs w:val="false"/>
                <w:color w:val="0E3A4D"/>
                <w:sz w:val="21"/>
                <w:szCs w:val="21"/>
              </w:rPr>
              <w:t xml:space="preserve">Root narrative (Needs Work):</w:t>
            </w:r>
          </w:p>
          <w:p>
            <w:pPr>
              <w:spacing w:after="80"/>
            </w:pPr>
            <w:r>
              <w:rPr>
                <w:rFonts w:ascii="Georgia" w:cs="Georgia" w:eastAsia="Georgia" w:hAnsi="Georgia"/>
                <w:b w:val="false"/>
                <w:bCs w:val="false"/>
                <w:i/>
                <w:iCs/>
                <w:color w:val="0E3A4D"/>
                <w:sz w:val="21"/>
                <w:szCs w:val="21"/>
              </w:rPr>
              <w:t xml:space="preserve">Your operational foundation is functional but not yet a source of client confidence. Clients experience occasional friction in processes like account transfers, document access, and scheduling — small moments that erode the premium experience your advisory quality deserves.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C6973B" w:sz="8"/>
              <w:bottom w:val="single" w:color="D0D7E0" w:sz="1"/>
              <w:right w:val="single" w:color="D0D7E0" w:sz="1"/>
            </w:tcBorders>
            <w:shd w:fill="FBF6ED" w:val="clear"/>
            <w:tcMar>
              <w:top w:type="dxa" w:w="120"/>
              <w:left w:type="dxa" w:w="200"/>
              <w:bottom w:type="dxa" w:w="120"/>
              <w:right w:type="dxa" w:w="200"/>
            </w:tcMar>
          </w:tcPr>
          <w:p>
            <w:pPr>
              <w:spacing w:after="60"/>
            </w:pPr>
            <w:r>
              <w:rPr>
                <w:rFonts w:ascii="Arial" w:cs="Arial" w:eastAsia="Arial" w:hAnsi="Arial"/>
                <w:b/>
                <w:bCs/>
                <w:color w:val="C6973B"/>
                <w:spacing w:val="60"/>
                <w:sz w:val="16"/>
                <w:szCs w:val="16"/>
              </w:rPr>
              <w:t xml:space="preserve">CLIENT PERSPECTIVE</w:t>
            </w:r>
          </w:p>
          <w:p>
            <w:pPr>
              <w:spacing w:after="80"/>
            </w:pPr>
            <w:r>
              <w:rPr>
                <w:rFonts w:ascii="Arial" w:cs="Arial" w:eastAsia="Arial" w:hAnsi="Arial"/>
                <w:b/>
                <w:bCs/>
                <w:i w:val="false"/>
                <w:iCs w:val="false"/>
                <w:color w:val="0E3A4D"/>
                <w:sz w:val="21"/>
                <w:szCs w:val="21"/>
              </w:rPr>
              <w:t xml:space="preserve">Root composite (Needs Work):</w:t>
            </w:r>
          </w:p>
          <w:p>
            <w:pPr>
              <w:spacing w:after="80"/>
            </w:pPr>
            <w:r>
              <w:rPr>
                <w:rFonts w:ascii="Georgia" w:cs="Georgia" w:eastAsia="Georgia" w:hAnsi="Georgia"/>
                <w:b w:val="false"/>
                <w:bCs w:val="false"/>
                <w:i/>
                <w:iCs/>
                <w:color w:val="0E3A4D"/>
                <w:sz w:val="21"/>
                <w:szCs w:val="21"/>
              </w:rPr>
              <w:t xml:space="preserve">“The advice is great, but sometimes the logistics feel clunky. Last month it took three emails to get a simple document.”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0E3A4D" w:sz="8"/>
              <w:bottom w:val="single" w:color="D0D7E0" w:sz="1"/>
              <w:right w:val="single" w:color="D0D7E0" w:sz="1"/>
            </w:tcBorders>
            <w:shd w:fill="F5F7FA" w:val="clear"/>
            <w:tcMar>
              <w:top w:type="dxa" w:w="120"/>
              <w:left w:type="dxa" w:w="200"/>
              <w:bottom w:type="dxa" w:w="120"/>
              <w:right w:type="dxa" w:w="200"/>
            </w:tcMar>
          </w:tcPr>
          <w:p>
            <w:pPr>
              <w:spacing w:after="60"/>
            </w:pPr>
            <w:r>
              <w:rPr>
                <w:rFonts w:ascii="Arial" w:cs="Arial" w:eastAsia="Arial" w:hAnsi="Arial"/>
                <w:b/>
                <w:bCs/>
                <w:color w:val="0E3A4D"/>
                <w:spacing w:val="60"/>
                <w:sz w:val="16"/>
                <w:szCs w:val="16"/>
              </w:rPr>
              <w:t xml:space="preserve">OBSERVATIONAL EVIDENCE</w:t>
            </w:r>
          </w:p>
          <w:p>
            <w:pPr>
              <w:spacing w:after="80"/>
            </w:pPr>
            <w:r>
              <w:rPr>
                <w:rFonts w:ascii="Arial" w:cs="Arial" w:eastAsia="Arial" w:hAnsi="Arial"/>
                <w:b/>
                <w:bCs/>
                <w:i w:val="false"/>
                <w:iCs w:val="false"/>
                <w:color w:val="0E3A4D"/>
                <w:sz w:val="21"/>
                <w:szCs w:val="21"/>
              </w:rPr>
              <w:t xml:space="preserve">Root observation (Needs Work):</w:t>
            </w:r>
          </w:p>
          <w:p>
            <w:pPr>
              <w:spacing w:after="80"/>
            </w:pPr>
            <w:r>
              <w:rPr>
                <w:rFonts w:ascii="Arial" w:cs="Arial" w:eastAsia="Arial" w:hAnsi="Arial"/>
                <w:b w:val="false"/>
                <w:bCs w:val="false"/>
                <w:i w:val="false"/>
                <w:iCs w:val="false"/>
                <w:color w:val="3D4659"/>
                <w:sz w:val="21"/>
                <w:szCs w:val="21"/>
              </w:rPr>
              <w:t xml:space="preserve">Multiple clients referenced operational friction as their primary frustration, despite high satisfaction with advisory quality. Document access required manual intervention in 4 of 5 evaluated cases. Two clients mentioned that scheduling changes required phone calls rather than self-service options.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BEHAVIORAL BENCHMARK</w:t>
            </w:r>
          </w:p>
          <w:p>
            <w:pPr>
              <w:spacing w:after="80"/>
            </w:pPr>
            <w:r>
              <w:rPr>
                <w:rFonts w:ascii="Arial" w:cs="Arial" w:eastAsia="Arial" w:hAnsi="Arial"/>
                <w:b/>
                <w:bCs/>
                <w:i w:val="false"/>
                <w:iCs w:val="false"/>
                <w:color w:val="0E3A4D"/>
                <w:sz w:val="21"/>
                <w:szCs w:val="21"/>
              </w:rPr>
              <w:t xml:space="preserve">Root benchmark:</w:t>
            </w:r>
          </w:p>
          <w:p>
            <w:pPr>
              <w:spacing w:after="80"/>
            </w:pPr>
            <w:r>
              <w:rPr>
                <w:rFonts w:ascii="Arial" w:cs="Arial" w:eastAsia="Arial" w:hAnsi="Arial"/>
                <w:b w:val="false"/>
                <w:bCs w:val="false"/>
                <w:i w:val="false"/>
                <w:iCs w:val="false"/>
                <w:color w:val="3D4659"/>
                <w:sz w:val="21"/>
                <w:szCs w:val="21"/>
              </w:rPr>
              <w:t xml:space="preserve">Top-5% firms provide clients with self-service portals for document access, scheduling, and basic account inquiries. 83% have automated the most common operational requests, reducing average resolution time from 48 hours to under 2 hours.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RECOMMENDATION</w:t>
            </w:r>
          </w:p>
          <w:p>
            <w:pPr>
              <w:spacing w:after="80"/>
            </w:pPr>
            <w:r>
              <w:rPr>
                <w:rFonts w:ascii="Arial" w:cs="Arial" w:eastAsia="Arial" w:hAnsi="Arial"/>
                <w:b/>
                <w:bCs/>
                <w:i w:val="false"/>
                <w:iCs w:val="false"/>
                <w:color w:val="0E3A4D"/>
                <w:sz w:val="21"/>
                <w:szCs w:val="21"/>
              </w:rPr>
              <w:t xml:space="preserve">Root recommendation (Needs Work):</w:t>
            </w:r>
          </w:p>
          <w:p>
            <w:pPr>
              <w:spacing w:after="80"/>
            </w:pPr>
            <w:r>
              <w:rPr>
                <w:rFonts w:ascii="Arial" w:cs="Arial" w:eastAsia="Arial" w:hAnsi="Arial"/>
                <w:b w:val="false"/>
                <w:bCs w:val="false"/>
                <w:i w:val="false"/>
                <w:iCs w:val="false"/>
                <w:color w:val="3D4659"/>
                <w:sz w:val="21"/>
                <w:szCs w:val="21"/>
              </w:rPr>
              <w:t xml:space="preserve">Start with the highest-friction interaction: document access. Implementing a client portal for document retrieval — even a simple shared drive — eliminates the most commonly cited operational frustration and signals technological competence.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60"/>
            </w:pPr>
            <w:r>
              <w:rPr>
                <w:rFonts w:ascii="Arial" w:cs="Arial" w:eastAsia="Arial" w:hAnsi="Arial"/>
                <w:b/>
                <w:bCs/>
                <w:color w:val="1A7A45"/>
                <w:spacing w:val="60"/>
                <w:sz w:val="16"/>
                <w:szCs w:val="16"/>
              </w:rPr>
              <w:t xml:space="preserve">STRENGTH LEVERAGE NARRATIVE</w:t>
            </w:r>
          </w:p>
          <w:p>
            <w:pPr>
              <w:spacing w:after="80"/>
            </w:pPr>
            <w:r>
              <w:rPr>
                <w:rFonts w:ascii="Arial" w:cs="Arial" w:eastAsia="Arial" w:hAnsi="Arial"/>
                <w:b/>
                <w:bCs/>
                <w:i w:val="false"/>
                <w:iCs w:val="false"/>
                <w:color w:val="0E3A4D"/>
                <w:sz w:val="21"/>
                <w:szCs w:val="21"/>
              </w:rPr>
              <w:t xml:space="preserve">Root leverage (Competitive):</w:t>
            </w:r>
          </w:p>
          <w:p>
            <w:pPr>
              <w:spacing w:after="80"/>
            </w:pPr>
            <w:r>
              <w:rPr>
                <w:rFonts w:ascii="Arial" w:cs="Arial" w:eastAsia="Arial" w:hAnsi="Arial"/>
                <w:b w:val="false"/>
                <w:bCs w:val="false"/>
                <w:i w:val="false"/>
                <w:iCs w:val="false"/>
                <w:color w:val="3D4659"/>
                <w:sz w:val="21"/>
                <w:szCs w:val="21"/>
              </w:rPr>
              <w:t xml:space="preserve">Your operational efficiency is a silent differentiator. Clients rarely praise operations explicitly, but they notice when things are frictionless — and they definitely notice when they’re not. Maintaining this standard protects the premium perception your advisory quality creates.</w:t>
            </w:r>
          </w:p>
        </w:tc>
      </w:tr>
    </w:tbl>
    <w:p>
      <w:pPr>
        <w:spacing w:after="100"/>
      </w:pPr>
    </w:p>
    <w:p>
      <w:pPr>
        <w:pStyle w:val="Heading3"/>
      </w:pPr>
      <w:r>
        <w:t xml:space="preserve">Data Points</w:t>
      </w:r>
    </w:p>
    <w:p>
      <w:pPr>
        <w:pBdr>
          <w:bottom w:val="single" w:color="D0D7E0" w:sz="1" w:space="4"/>
        </w:pBdr>
        <w:spacing w:after="40"/>
      </w:pPr>
      <w:r>
        <w:rPr>
          <w:rFonts w:ascii="Arial" w:cs="Arial" w:eastAsia="Arial" w:hAnsi="Arial"/>
          <w:b/>
          <w:bCs/>
          <w:color w:val="0E3A4D"/>
          <w:sz w:val="22"/>
          <w:szCs w:val="22"/>
        </w:rPr>
        <w:t xml:space="preserve">Document Access Efficiency</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easily and quickly clients can access statements, tax documents, and planning materials without advisor intervention.</w:t>
      </w:r>
    </w:p>
    <w:p>
      <w:pPr>
        <w:spacing w:after="120"/>
      </w:pPr>
      <w:r>
        <w:rPr>
          <w:rFonts w:ascii="Arial" w:cs="Arial" w:eastAsia="Arial" w:hAnsi="Arial"/>
          <w:color w:val="6E7A8F"/>
          <w:sz w:val="18"/>
          <w:szCs w:val="18"/>
        </w:rPr>
        <w:t xml:space="preserve">Benchmarks: Average 55  |  Top 5%: 90</w:t>
      </w:r>
    </w:p>
    <w:p>
      <w:pPr>
        <w:pBdr>
          <w:bottom w:val="single" w:color="D0D7E0" w:sz="1" w:space="4"/>
        </w:pBdr>
        <w:spacing w:after="40"/>
      </w:pPr>
      <w:r>
        <w:rPr>
          <w:rFonts w:ascii="Arial" w:cs="Arial" w:eastAsia="Arial" w:hAnsi="Arial"/>
          <w:b/>
          <w:bCs/>
          <w:color w:val="0E3A4D"/>
          <w:sz w:val="22"/>
          <w:szCs w:val="22"/>
        </w:rPr>
        <w:t xml:space="preserve">Technology Adoption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your technology stack enhances the client experience or creates friction — from portals to communication tools.</w:t>
      </w:r>
    </w:p>
    <w:p>
      <w:pPr>
        <w:spacing w:after="120"/>
      </w:pPr>
      <w:r>
        <w:rPr>
          <w:rFonts w:ascii="Arial" w:cs="Arial" w:eastAsia="Arial" w:hAnsi="Arial"/>
          <w:color w:val="6E7A8F"/>
          <w:sz w:val="18"/>
          <w:szCs w:val="18"/>
        </w:rPr>
        <w:t xml:space="preserve">Benchmarks: Average 52  |  Top 5%: 88</w:t>
      </w:r>
    </w:p>
    <w:p>
      <w:pPr>
        <w:pBdr>
          <w:bottom w:val="single" w:color="D0D7E0" w:sz="1" w:space="4"/>
        </w:pBdr>
        <w:spacing w:after="40"/>
      </w:pPr>
      <w:r>
        <w:rPr>
          <w:rFonts w:ascii="Arial" w:cs="Arial" w:eastAsia="Arial" w:hAnsi="Arial"/>
          <w:b/>
          <w:bCs/>
          <w:color w:val="0E3A4D"/>
          <w:sz w:val="22"/>
          <w:szCs w:val="22"/>
        </w:rPr>
        <w:t xml:space="preserve">Regulatory Change Communication</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proactively you inform clients about regulatory changes that affect their accounts or financial planning.</w:t>
      </w:r>
    </w:p>
    <w:p>
      <w:pPr>
        <w:spacing w:after="120"/>
      </w:pPr>
      <w:r>
        <w:rPr>
          <w:rFonts w:ascii="Arial" w:cs="Arial" w:eastAsia="Arial" w:hAnsi="Arial"/>
          <w:color w:val="6E7A8F"/>
          <w:sz w:val="18"/>
          <w:szCs w:val="18"/>
        </w:rPr>
        <w:t xml:space="preserve">Benchmarks: Average 48  |  Top 5%: 85</w:t>
      </w:r>
    </w:p>
    <w:p>
      <w:pPr>
        <w:pBdr>
          <w:bottom w:val="single" w:color="D0D7E0" w:sz="1" w:space="4"/>
        </w:pBdr>
        <w:spacing w:after="40"/>
      </w:pPr>
      <w:r>
        <w:rPr>
          <w:rFonts w:ascii="Arial" w:cs="Arial" w:eastAsia="Arial" w:hAnsi="Arial"/>
          <w:b/>
          <w:bCs/>
          <w:color w:val="0E3A4D"/>
          <w:sz w:val="22"/>
          <w:szCs w:val="22"/>
        </w:rPr>
        <w:t xml:space="preserve">Onboarding Smoothness</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How seamless the new client experience is from initial agreement through first meeting — including paperwork and account setup.</w:t>
      </w:r>
    </w:p>
    <w:p>
      <w:pPr>
        <w:spacing w:after="120"/>
      </w:pPr>
      <w:r>
        <w:rPr>
          <w:rFonts w:ascii="Arial" w:cs="Arial" w:eastAsia="Arial" w:hAnsi="Arial"/>
          <w:color w:val="6E7A8F"/>
          <w:sz w:val="18"/>
          <w:szCs w:val="18"/>
        </w:rPr>
        <w:t xml:space="preserve">Benchmarks: Average 58  |  Top 5%: 91</w:t>
      </w:r>
    </w:p>
    <w:p>
      <w:pPr>
        <w:pBdr>
          <w:bottom w:val="single" w:color="D0D7E0" w:sz="1" w:space="4"/>
        </w:pBdr>
        <w:spacing w:after="40"/>
      </w:pPr>
      <w:r>
        <w:rPr>
          <w:rFonts w:ascii="Arial" w:cs="Arial" w:eastAsia="Arial" w:hAnsi="Arial"/>
          <w:b/>
          <w:bCs/>
          <w:color w:val="0E3A4D"/>
          <w:sz w:val="22"/>
          <w:szCs w:val="22"/>
        </w:rPr>
        <w:t xml:space="preserve">Scalability Readiness</w:t>
      </w:r>
    </w:p>
    <w:p>
      <w:pPr>
        <w:spacing w:after="40"/>
      </w:pPr>
      <w:r>
        <w:rPr>
          <w:rFonts w:ascii="Arial" w:cs="Arial" w:eastAsia="Arial" w:hAnsi="Arial"/>
          <w:b/>
          <w:bCs/>
          <w:color w:val="6E7A8F"/>
          <w:sz w:val="20"/>
          <w:szCs w:val="20"/>
        </w:rPr>
        <w:t xml:space="preserve">Description: </w:t>
      </w:r>
      <w:r>
        <w:rPr>
          <w:rFonts w:ascii="Arial" w:cs="Arial" w:eastAsia="Arial" w:hAnsi="Arial"/>
          <w:color w:val="3D4659"/>
          <w:sz w:val="20"/>
          <w:szCs w:val="20"/>
        </w:rPr>
        <w:t xml:space="preserve">Whether your operational infrastructure could handle 50% more clients without degrading service quality.</w:t>
      </w:r>
    </w:p>
    <w:p>
      <w:pPr>
        <w:spacing w:after="120"/>
      </w:pPr>
      <w:r>
        <w:rPr>
          <w:rFonts w:ascii="Arial" w:cs="Arial" w:eastAsia="Arial" w:hAnsi="Arial"/>
          <w:color w:val="6E7A8F"/>
          <w:sz w:val="18"/>
          <w:szCs w:val="18"/>
        </w:rPr>
        <w:t xml:space="preserve">Benchmarks: Average 44  |  Top 5%: 86</w:t>
      </w:r>
    </w:p>
    <w:p>
      <w:pPr>
        <w:spacing w:after="100"/>
      </w:pPr>
    </w:p>
    <w:p>
      <w:r>
        <w:br w:type="page"/>
      </w:r>
    </w:p>
    <w:p>
      <w:pPr>
        <w:pStyle w:val="Heading1"/>
      </w:pPr>
      <w:r>
        <w:t xml:space="preserve">Hub-Level Verdict Templates</w:t>
      </w:r>
    </w:p>
    <w:p>
      <w:pPr>
        <w:spacing w:after="160"/>
      </w:pPr>
      <w:r>
        <w:rPr>
          <w:rFonts w:ascii="Arial" w:cs="Arial" w:eastAsia="Arial" w:hAnsi="Arial"/>
          <w:color w:val="3D4659"/>
          <w:sz w:val="22"/>
          <w:szCs w:val="22"/>
        </w:rPr>
        <w:t xml:space="preserve">These templates power the hero section of the hub page. Each is a synthesized verdict that weaves together the advisor’s strongest and weakest areas into a single narrative moment.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HUB VERDICT — STRONG OVERALL, FEE WEAKNESS</w:t>
            </w:r>
          </w:p>
          <w:p>
            <w:pPr>
              <w:spacing w:after="80"/>
            </w:pPr>
            <w:r>
              <w:rPr>
                <w:rFonts w:ascii="Arial" w:cs="Arial" w:eastAsia="Arial" w:hAnsi="Arial"/>
                <w:b/>
                <w:bCs/>
                <w:i w:val="false"/>
                <w:iCs w:val="false"/>
                <w:color w:val="6E7A8F"/>
                <w:sz w:val="18"/>
                <w:szCs w:val="18"/>
              </w:rPr>
              <w:t xml:space="preserve">When: Overall score 75–89, Investment areas Competitive, Fee areas At Risk</w:t>
            </w:r>
          </w:p>
          <w:p>
            <w:pPr>
              <w:spacing w:after="80"/>
            </w:pPr>
            <w:r>
              <w:rPr>
                <w:rFonts w:ascii="Georgia" w:cs="Georgia" w:eastAsia="Georgia" w:hAnsi="Georgia"/>
                <w:b w:val="false"/>
                <w:bCs w:val="false"/>
                <w:i/>
                <w:iCs/>
                <w:color w:val="0E3A4D"/>
                <w:sz w:val="21"/>
                <w:szCs w:val="21"/>
              </w:rPr>
              <w:t xml:space="preserve">Your investment rigor sets you apart from nearly every advisor we’ve assessed. But your clients don’t know that yet — because the way you communicate fees and value is creating a gap between what you deliver and what clients believe they’re getting.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HUB VERDICT — UNIFORMLY STRONG</w:t>
            </w:r>
          </w:p>
          <w:p>
            <w:pPr>
              <w:spacing w:after="80"/>
            </w:pPr>
            <w:r>
              <w:rPr>
                <w:rFonts w:ascii="Arial" w:cs="Arial" w:eastAsia="Arial" w:hAnsi="Arial"/>
                <w:b/>
                <w:bCs/>
                <w:i w:val="false"/>
                <w:iCs w:val="false"/>
                <w:color w:val="6E7A8F"/>
                <w:sz w:val="18"/>
                <w:szCs w:val="18"/>
              </w:rPr>
              <w:t xml:space="preserve">When: Overall score 90+, no area below Good</w:t>
            </w:r>
          </w:p>
          <w:p>
            <w:pPr>
              <w:spacing w:after="80"/>
            </w:pPr>
            <w:r>
              <w:rPr>
                <w:rFonts w:ascii="Georgia" w:cs="Georgia" w:eastAsia="Georgia" w:hAnsi="Georgia"/>
                <w:b w:val="false"/>
                <w:bCs w:val="false"/>
                <w:i/>
                <w:iCs/>
                <w:color w:val="0E3A4D"/>
                <w:sz w:val="21"/>
                <w:szCs w:val="21"/>
              </w:rPr>
              <w:t xml:space="preserve">You’re operating at a level that puts you in elite company. Your clients experience consistency across every dimension of your practice — from investment research to communication to operations. The opportunity now is making these strengths more visible, because the advisors ahead of you aren’t better, they’re just better at showing their work.</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HUB VERDICT — MIXED PERFORMANCE</w:t>
            </w:r>
          </w:p>
          <w:p>
            <w:pPr>
              <w:spacing w:after="80"/>
            </w:pPr>
            <w:r>
              <w:rPr>
                <w:rFonts w:ascii="Arial" w:cs="Arial" w:eastAsia="Arial" w:hAnsi="Arial"/>
                <w:b/>
                <w:bCs/>
                <w:i w:val="false"/>
                <w:iCs w:val="false"/>
                <w:color w:val="6E7A8F"/>
                <w:sz w:val="18"/>
                <w:szCs w:val="18"/>
              </w:rPr>
              <w:t xml:space="preserve">When: Overall score 55–74, significant variance between areas</w:t>
            </w:r>
          </w:p>
          <w:p>
            <w:pPr>
              <w:spacing w:after="80"/>
            </w:pPr>
            <w:r>
              <w:rPr>
                <w:rFonts w:ascii="Georgia" w:cs="Georgia" w:eastAsia="Georgia" w:hAnsi="Georgia"/>
                <w:b w:val="false"/>
                <w:bCs w:val="false"/>
                <w:i/>
                <w:iCs/>
                <w:color w:val="0E3A4D"/>
                <w:sz w:val="21"/>
                <w:szCs w:val="21"/>
              </w:rPr>
              <w:t xml:space="preserve">Your practice has genuine pockets of excellence — areas where you’re delivering at a level most advisors never reach. But the inconsistency between your strongest and weakest areas means clients experience a different quality of service depending on what they need from you. Closing that gap is the fastest path to the top tier.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HUB VERDICT — EARLY JOURNEY, LIMITED DATA</w:t>
            </w:r>
          </w:p>
          <w:p>
            <w:pPr>
              <w:spacing w:after="80"/>
            </w:pPr>
            <w:r>
              <w:rPr>
                <w:rFonts w:ascii="Arial" w:cs="Arial" w:eastAsia="Arial" w:hAnsi="Arial"/>
                <w:b/>
                <w:bCs/>
                <w:i w:val="false"/>
                <w:iCs w:val="false"/>
                <w:color w:val="6E7A8F"/>
                <w:sz w:val="18"/>
                <w:szCs w:val="18"/>
              </w:rPr>
              <w:t xml:space="preserve">When: Fewer than 5 modules completed</w:t>
            </w:r>
          </w:p>
          <w:p>
            <w:pPr>
              <w:spacing w:after="80"/>
            </w:pPr>
            <w:r>
              <w:rPr>
                <w:rFonts w:ascii="Georgia" w:cs="Georgia" w:eastAsia="Georgia" w:hAnsi="Georgia"/>
                <w:b w:val="false"/>
                <w:bCs w:val="false"/>
                <w:i/>
                <w:iCs/>
                <w:color w:val="0E3A4D"/>
                <w:sz w:val="21"/>
                <w:szCs w:val="21"/>
              </w:rPr>
              <w:t xml:space="preserve">Your early results suggest real strengths in [strongest area]. As you complete more assessments, the picture will sharpen — and so will the intelligence we can surface. Right now, your [strongest module] results already tell a story worth exploring.</w:t>
            </w:r>
          </w:p>
        </w:tc>
      </w:tr>
    </w:tbl>
    <w:p>
      <w:pPr>
        <w:spacing w:after="100"/>
      </w:pPr>
    </w:p>
    <w:p>
      <w:pPr>
        <w:spacing w:after="200"/>
      </w:pPr>
    </w:p>
    <w:p>
      <w:pPr>
        <w:pStyle w:val="Heading1"/>
      </w:pPr>
      <w:r>
        <w:t xml:space="preserve">Expansion Roadmap</w:t>
      </w:r>
    </w:p>
    <w:p>
      <w:pPr>
        <w:spacing w:after="160"/>
      </w:pPr>
      <w:r>
        <w:rPr>
          <w:rFonts w:ascii="Arial" w:cs="Arial" w:eastAsia="Arial" w:hAnsi="Arial"/>
          <w:color w:val="3D4659"/>
          <w:sz w:val="22"/>
          <w:szCs w:val="22"/>
        </w:rPr>
        <w:t xml:space="preserve">This repository covers 5 modules with 25 data points. The complete Point93 assessment library will expand to encompass additional modules within each practice area. As new modules are added, they should follow the same repository structure:</w:t>
      </w:r>
    </w:p>
    <w:p>
      <w:pPr>
        <w:spacing w:after="40"/>
      </w:pPr>
    </w:p>
    <w:p>
      <w:pPr>
        <w:pStyle w:val="ListParagraph"/>
        <w:numPr>
          <w:ilvl w:val="0"/>
          <w:numId w:val="2"/>
        </w:numPr>
        <w:spacing w:after="100"/>
      </w:pPr>
      <w:r>
        <w:rPr>
          <w:rFonts w:ascii="Arial" w:cs="Arial" w:eastAsia="Arial" w:hAnsi="Arial"/>
          <w:color w:val="3D4659"/>
          <w:sz w:val="22"/>
          <w:szCs w:val="22"/>
        </w:rPr>
        <w:t xml:space="preserve">Each module must have all six treatment types authored at root level before deployment</w:t>
      </w:r>
    </w:p>
    <w:p>
      <w:pPr>
        <w:pStyle w:val="ListParagraph"/>
        <w:numPr>
          <w:ilvl w:val="0"/>
          <w:numId w:val="2"/>
        </w:numPr>
        <w:spacing w:after="100"/>
      </w:pPr>
      <w:r>
        <w:rPr>
          <w:rFonts w:ascii="Arial" w:cs="Arial" w:eastAsia="Arial" w:hAnsi="Arial"/>
          <w:color w:val="3D4659"/>
          <w:sz w:val="22"/>
          <w:szCs w:val="22"/>
        </w:rPr>
        <w:t xml:space="preserve">Each data point must have a description and benchmark scores</w:t>
      </w:r>
    </w:p>
    <w:p>
      <w:pPr>
        <w:pStyle w:val="ListParagraph"/>
        <w:numPr>
          <w:ilvl w:val="0"/>
          <w:numId w:val="2"/>
        </w:numPr>
        <w:spacing w:after="100"/>
      </w:pPr>
      <w:r>
        <w:rPr>
          <w:rFonts w:ascii="Arial" w:cs="Arial" w:eastAsia="Arial" w:hAnsi="Arial"/>
          <w:color w:val="3D4659"/>
          <w:sz w:val="22"/>
          <w:szCs w:val="22"/>
        </w:rPr>
        <w:t xml:space="preserve">Band-adaptive variants should be generated from roots using AI, reviewed by subject matter experts, then locked into the repository</w:t>
      </w:r>
    </w:p>
    <w:p>
      <w:pPr>
        <w:pStyle w:val="ListParagraph"/>
        <w:numPr>
          <w:ilvl w:val="0"/>
          <w:numId w:val="2"/>
        </w:numPr>
        <w:spacing w:after="100"/>
      </w:pPr>
      <w:r>
        <w:rPr>
          <w:rFonts w:ascii="Arial" w:cs="Arial" w:eastAsia="Arial" w:hAnsi="Arial"/>
          <w:color w:val="3D4659"/>
          <w:sz w:val="22"/>
          <w:szCs w:val="22"/>
        </w:rPr>
        <w:t xml:space="preserve">Hub-level verdict templates should be added for each new score/area combination pattern</w:t>
      </w:r>
    </w:p>
    <w:p>
      <w:pPr>
        <w:pStyle w:val="ListParagraph"/>
        <w:numPr>
          <w:ilvl w:val="0"/>
          <w:numId w:val="2"/>
        </w:numPr>
        <w:spacing w:after="100"/>
      </w:pPr>
      <w:r>
        <w:rPr>
          <w:rFonts w:ascii="Arial" w:cs="Arial" w:eastAsia="Arial" w:hAnsi="Arial"/>
          <w:color w:val="3D4659"/>
          <w:sz w:val="22"/>
          <w:szCs w:val="22"/>
        </w:rPr>
        <w:t xml:space="preserve">Cross-practice intelligence content (Section 3 of the hub) will be authored separately once sufficient module combinations exist to surface meaningful patterns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E3A4D"/>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5E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E3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2026-02-17T22:21:05.919Z</dcterms:created>
  <dcterms:modified xsi:type="dcterms:W3CDTF">2026-02-17T22:21:05.920Z</dcterms:modified>
</cp:coreProperties>
</file>

<file path=docProps/custom.xml><?xml version="1.0" encoding="utf-8"?>
<Properties xmlns="http://schemas.openxmlformats.org/officeDocument/2006/custom-properties" xmlns:vt="http://schemas.openxmlformats.org/officeDocument/2006/docPropsVTypes"/>
</file>