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B5E7B"/>
          <w:spacing w:val="200"/>
          <w:sz w:val="20"/>
          <w:szCs w:val="20"/>
        </w:rPr>
        <w:t xml:space="preserve">POINT93</w:t>
      </w:r>
    </w:p>
    <w:p>
      <w:pPr>
        <w:spacing w:after="80"/>
        <w:jc w:val="center"/>
      </w:pPr>
      <w:r>
        <w:rPr>
          <w:rFonts w:ascii="Georgia" w:cs="Georgia" w:eastAsia="Georgia" w:hAnsi="Georgia"/>
          <w:color w:val="0E3A4D"/>
          <w:sz w:val="48"/>
          <w:szCs w:val="48"/>
        </w:rPr>
        <w:t xml:space="preserve">Intelligence Treatment Framework</w:t>
      </w:r>
    </w:p>
    <w:p>
      <w:pPr>
        <w:pBdr>
          <w:bottom w:val="single" w:color="1B5E7B" w:sz="6" w:space="1"/>
        </w:pBdr>
        <w:spacing w:after="400"/>
        <w:jc w:val="center"/>
      </w:pPr>
      <w:r>
        <w:rPr>
          <w:rFonts w:ascii="Arial" w:cs="Arial" w:eastAsia="Arial" w:hAnsi="Arial"/>
          <w:color w:val="6E7A8F"/>
          <w:sz w:val="24"/>
          <w:szCs w:val="24"/>
        </w:rPr>
        <w:t xml:space="preserve">How We Deliver Intelligence at Every Level of the Platform</w:t>
      </w:r>
    </w:p>
    <w:p>
      <w:pPr>
        <w:spacing w:after="400"/>
      </w:pPr>
    </w:p>
    <w:p>
      <w:pPr>
        <w:spacing w:after="80"/>
        <w:jc w:val="center"/>
      </w:pPr>
      <w:r>
        <w:rPr>
          <w:rFonts w:ascii="Arial" w:cs="Arial" w:eastAsia="Arial" w:hAnsi="Arial"/>
          <w:color w:val="6E7A8F"/>
          <w:sz w:val="20"/>
          <w:szCs w:val="20"/>
        </w:rPr>
        <w:t xml:space="preserve">Version 1.0  •  February 2026</w:t>
      </w:r>
    </w:p>
    <w:p>
      <w:pPr>
        <w:jc w:val="center"/>
      </w:pPr>
      <w:r>
        <w:rPr>
          <w:rFonts w:ascii="Arial" w:cs="Arial" w:eastAsia="Arial" w:hAnsi="Arial"/>
          <w:color w:val="6E7A8F"/>
          <w:sz w:val="20"/>
          <w:szCs w:val="20"/>
        </w:rPr>
        <w:t xml:space="preserve">Content Authoring &amp; Design Implementation Specification</w:t>
      </w:r>
    </w:p>
    <w:p>
      <w:r>
        <w:br w:type="page"/>
      </w:r>
    </w:p>
    <w:p>
      <w:pPr>
        <w:pStyle w:val="Heading1"/>
      </w:pPr>
      <w:r>
        <w:t xml:space="preserve">The Core Principle</w:t>
      </w:r>
    </w:p>
    <w:p>
      <w:pPr>
        <w:spacing w:after="160"/>
      </w:pPr>
      <w:r>
        <w:rPr>
          <w:rFonts w:ascii="Arial" w:cs="Arial" w:eastAsia="Arial" w:hAnsi="Arial"/>
          <w:color w:val="3D4659"/>
          <w:sz w:val="22"/>
          <w:szCs w:val="22"/>
        </w:rPr>
        <w:t xml:space="preserve">Point93’s competitive moat is not technology, scores, or design. It is </w:t>
      </w:r>
      <w:r>
        <w:rPr>
          <w:rFonts w:ascii="Arial" w:cs="Arial" w:eastAsia="Arial" w:hAnsi="Arial"/>
          <w:b/>
          <w:bCs/>
          <w:color w:val="1B5E7B"/>
          <w:sz w:val="22"/>
          <w:szCs w:val="22"/>
        </w:rPr>
        <w:t xml:space="preserve">observational intelligence</w:t>
      </w:r>
      <w:r>
        <w:rPr>
          <w:rFonts w:ascii="Arial" w:cs="Arial" w:eastAsia="Arial" w:hAnsi="Arial"/>
          <w:color w:val="3D4659"/>
          <w:sz w:val="22"/>
          <w:szCs w:val="22"/>
        </w:rPr>
        <w:t xml:space="preserve"> — narrative insights derived from real client interaction evaluations that no competitor can replicate. Every design decision, content structure, and data presentation must serve one purpose: </w:t>
      </w:r>
      <w:r>
        <w:rPr>
          <w:rFonts w:ascii="Arial" w:cs="Arial" w:eastAsia="Arial" w:hAnsi="Arial"/>
          <w:b/>
          <w:bCs/>
          <w:color w:val="0E3A4D"/>
          <w:sz w:val="22"/>
          <w:szCs w:val="22"/>
        </w:rPr>
        <w:t xml:space="preserve">making that intelligence visible, visceral, and actionable.</w:t>
      </w:r>
    </w:p>
    <w:p>
      <w:pPr>
        <w:spacing w:after="160"/>
      </w:pPr>
      <w:r>
        <w:rPr>
          <w:rFonts w:ascii="Arial" w:cs="Arial" w:eastAsia="Arial" w:hAnsi="Arial"/>
          <w:color w:val="3D4659"/>
          <w:sz w:val="22"/>
          <w:szCs w:val="22"/>
        </w:rPr>
        <w:t xml:space="preserve">Scores are the scaffolding. Intelligence is the product. An advisor who sees only numbers has received a report. An advisor who understands what those numbers mean for their practice, hears their clients’ actual words, and knows what top performers do differently — that advisor has received something worth paying for.</w:t>
      </w:r>
    </w:p>
    <w:p>
      <w:pPr>
        <w:pBdr>
          <w:bottom w:val="single" w:color="1B5E7B" w:sz="6" w:space="1"/>
        </w:pBdr>
        <w:spacing w:before="200" w:after="200"/>
      </w:pPr>
    </w:p>
    <w:p>
      <w:pPr>
        <w:pStyle w:val="Heading1"/>
      </w:pPr>
      <w:r>
        <w:t xml:space="preserve">The Five Intelligence Treatment Types</w:t>
      </w:r>
    </w:p>
    <w:p>
      <w:pPr>
        <w:spacing w:after="160"/>
      </w:pPr>
      <w:r>
        <w:rPr>
          <w:rFonts w:ascii="Arial" w:cs="Arial" w:eastAsia="Arial" w:hAnsi="Arial"/>
          <w:color w:val="3D4659"/>
          <w:sz w:val="22"/>
          <w:szCs w:val="22"/>
        </w:rPr>
        <w:t xml:space="preserve">Every piece of intelligence Point93 delivers is classified into one of five treatment types. Each has a distinct purpose, visual container, and emotional register. Together, they form the complete intelligence experience.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2560"/>
      </w:tblGrid>
      <w:tr>
        <w:tc>
          <w:tcPr>
            <w:tcW w:type="dxa" w:w="180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20"/>
                <w:szCs w:val="20"/>
              </w:rPr>
              <w:t xml:space="preserve">Treatment</w:t>
            </w:r>
          </w:p>
        </w:tc>
        <w:tc>
          <w:tcPr>
            <w:tcW w:type="dxa" w:w="320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180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20"/>
                <w:szCs w:val="20"/>
              </w:rPr>
              <w:t xml:space="preserve">Visual Container</w:t>
            </w:r>
          </w:p>
        </w:tc>
        <w:tc>
          <w:tcPr>
            <w:tcW w:type="dxa" w:w="256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18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b/>
                <w:bCs/>
                <w:color w:val="1B5E7B"/>
                <w:sz w:val="20"/>
                <w:szCs w:val="20"/>
              </w:rPr>
              <w:t xml:space="preserve">Observational Evidence</w:t>
            </w:r>
          </w:p>
        </w:tc>
        <w:tc>
          <w:tcPr>
            <w:tcW w:type="dxa" w:w="32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3D4659"/>
                <w:sz w:val="20"/>
                <w:szCs w:val="20"/>
              </w:rPr>
              <w:t xml:space="preserve">What we specifically saw in evaluated client interactions. Behavioral, concrete, unreplicable.</w:t>
            </w:r>
          </w:p>
        </w:tc>
        <w:tc>
          <w:tcPr>
            <w:tcW w:type="dxa" w:w="18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3D4659"/>
                <w:sz w:val="20"/>
                <w:szCs w:val="20"/>
              </w:rPr>
              <w:t xml:space="preserve">Panel with eye icon, neutral background</w:t>
            </w:r>
          </w:p>
        </w:tc>
        <w:tc>
          <w:tcPr>
            <w:tcW w:type="dxa" w:w="25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i/>
                <w:iCs/>
                <w:color w:val="6E7A8F"/>
                <w:sz w:val="18"/>
                <w:szCs w:val="18"/>
              </w:rPr>
              <w:t xml:space="preserve">In 3 of 5 interactions, clients couldn’t name what they pay.</w:t>
            </w:r>
          </w:p>
        </w:tc>
      </w:tr>
      <w:tr>
        <w:tc>
          <w:tcPr>
            <w:tcW w:type="dxa" w:w="18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b/>
                <w:bCs/>
                <w:color w:val="C6973B"/>
                <w:sz w:val="20"/>
                <w:szCs w:val="20"/>
              </w:rPr>
              <w:t xml:space="preserve">Client Perspective</w:t>
            </w:r>
          </w:p>
        </w:tc>
        <w:tc>
          <w:tcPr>
            <w:tcW w:type="dxa" w:w="32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3D4659"/>
                <w:sz w:val="20"/>
                <w:szCs w:val="20"/>
              </w:rPr>
              <w:t xml:space="preserve">The client’s own words (composite). Makes abstract scores visceral and emotional.</w:t>
            </w:r>
          </w:p>
        </w:tc>
        <w:tc>
          <w:tcPr>
            <w:tcW w:type="dxa" w:w="18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3D4659"/>
                <w:sz w:val="20"/>
                <w:szCs w:val="20"/>
              </w:rPr>
              <w:t xml:space="preserve">Gold background panel with quote marks</w:t>
            </w:r>
          </w:p>
        </w:tc>
        <w:tc>
          <w:tcPr>
            <w:tcW w:type="dxa" w:w="25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i/>
                <w:iCs/>
                <w:color w:val="6E7A8F"/>
                <w:sz w:val="18"/>
                <w:szCs w:val="18"/>
              </w:rPr>
              <w:t xml:space="preserve">“I assume he’s competitive but I’ve never actually checked.”</w:t>
            </w:r>
          </w:p>
        </w:tc>
      </w:tr>
      <w:tr>
        <w:tc>
          <w:tcPr>
            <w:tcW w:type="dxa" w:w="18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b/>
                <w:bCs/>
                <w:color w:val="1A7A45"/>
                <w:sz w:val="20"/>
                <w:szCs w:val="20"/>
              </w:rPr>
              <w:t xml:space="preserve">Behavioral Benchmark</w:t>
            </w:r>
          </w:p>
        </w:tc>
        <w:tc>
          <w:tcPr>
            <w:tcW w:type="dxa" w:w="32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3D4659"/>
                <w:sz w:val="20"/>
                <w:szCs w:val="20"/>
              </w:rPr>
              <w:t xml:space="preserve">What top-performing advisors do differently. Gives scores meaning by showing what ‘good’ looks like.</w:t>
            </w:r>
          </w:p>
        </w:tc>
        <w:tc>
          <w:tcPr>
            <w:tcW w:type="dxa" w:w="18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3D4659"/>
                <w:sz w:val="20"/>
                <w:szCs w:val="20"/>
              </w:rPr>
              <w:t xml:space="preserve">Green background panel with chart icon</w:t>
            </w:r>
          </w:p>
        </w:tc>
        <w:tc>
          <w:tcPr>
            <w:tcW w:type="dxa" w:w="25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i/>
                <w:iCs/>
                <w:color w:val="6E7A8F"/>
                <w:sz w:val="18"/>
                <w:szCs w:val="18"/>
              </w:rPr>
              <w:t xml:space="preserve">89% of top-5% advisors discuss fee comparisons during onboarding.</w:t>
            </w:r>
          </w:p>
        </w:tc>
      </w:tr>
      <w:tr>
        <w:tc>
          <w:tcPr>
            <w:tcW w:type="dxa" w:w="18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b/>
                <w:bCs/>
                <w:color w:val="0E3A4D"/>
                <w:sz w:val="20"/>
                <w:szCs w:val="20"/>
              </w:rPr>
              <w:t xml:space="preserve">Diagnostic Narrative</w:t>
            </w:r>
          </w:p>
        </w:tc>
        <w:tc>
          <w:tcPr>
            <w:tcW w:type="dxa" w:w="32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3D4659"/>
                <w:sz w:val="20"/>
                <w:szCs w:val="20"/>
              </w:rPr>
              <w:t xml:space="preserve">The interpretive takeaway connecting evidence to business impact. The ‘so what.’</w:t>
            </w:r>
          </w:p>
        </w:tc>
        <w:tc>
          <w:tcPr>
            <w:tcW w:type="dxa" w:w="18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3D4659"/>
                <w:sz w:val="20"/>
                <w:szCs w:val="20"/>
              </w:rPr>
              <w:t xml:space="preserve">Left-bordered panel, accent color, serif italic</w:t>
            </w:r>
          </w:p>
        </w:tc>
        <w:tc>
          <w:tcPr>
            <w:tcW w:type="dxa" w:w="25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i/>
                <w:iCs/>
                <w:color w:val="6E7A8F"/>
                <w:sz w:val="18"/>
                <w:szCs w:val="18"/>
              </w:rPr>
              <w:t xml:space="preserve">Clients can’t explain what they’re paying for — competitors are winning on perception.</w:t>
            </w:r>
          </w:p>
        </w:tc>
      </w:tr>
      <w:tr>
        <w:tc>
          <w:tcPr>
            <w:tcW w:type="dxa" w:w="18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b/>
                <w:bCs/>
                <w:color w:val="1B5E7B"/>
                <w:sz w:val="20"/>
                <w:szCs w:val="20"/>
              </w:rPr>
              <w:t xml:space="preserve">Recommendation</w:t>
            </w:r>
          </w:p>
        </w:tc>
        <w:tc>
          <w:tcPr>
            <w:tcW w:type="dxa" w:w="32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3D4659"/>
                <w:sz w:val="20"/>
                <w:szCs w:val="20"/>
              </w:rPr>
              <w:t xml:space="preserve">Forward-looking guidance on what to do with this information. The ‘now what.’</w:t>
            </w:r>
          </w:p>
        </w:tc>
        <w:tc>
          <w:tcPr>
            <w:tcW w:type="dxa" w:w="18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3D4659"/>
                <w:sz w:val="20"/>
                <w:szCs w:val="20"/>
              </w:rPr>
              <w:t xml:space="preserve">Accent background with compass icon</w:t>
            </w:r>
          </w:p>
        </w:tc>
        <w:tc>
          <w:tcPr>
            <w:tcW w:type="dxa" w:w="25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i/>
                <w:iCs/>
                <w:color w:val="6E7A8F"/>
                <w:sz w:val="18"/>
                <w:szCs w:val="18"/>
              </w:rPr>
              <w:t xml:space="preserve">Start with fee transparency during onboarding — highest impact on retention.</w:t>
            </w:r>
          </w:p>
        </w:tc>
      </w:tr>
    </w:tbl>
    <w:p>
      <w:pPr>
        <w:spacing w:after="200"/>
      </w:pPr>
    </w:p>
    <w:p>
      <w:pPr>
        <w:pStyle w:val="Heading1"/>
      </w:pPr>
      <w:r>
        <w:t xml:space="preserve">The Data Hierarchy</w:t>
      </w:r>
    </w:p>
    <w:p>
      <w:pPr>
        <w:spacing w:after="160"/>
      </w:pPr>
      <w:r>
        <w:rPr>
          <w:rFonts w:ascii="Arial" w:cs="Arial" w:eastAsia="Arial" w:hAnsi="Arial"/>
          <w:color w:val="3D4659"/>
          <w:sz w:val="22"/>
          <w:szCs w:val="22"/>
        </w:rPr>
        <w:t xml:space="preserve">Point93 organizes intelligence across five hierarchy levels, from broadest to most granular. Each level receives a specific combination of treatment types, creating a predictable yet differentiated experience as the advisor drills deeper.</w:t>
      </w:r>
    </w:p>
    <w:p>
      <w:pPr>
        <w:spacing w:after="80"/>
      </w:pPr>
    </w:p>
    <w:p>
      <w:pPr>
        <w:pStyle w:val="Heading2"/>
      </w:pPr>
      <w:r>
        <w:t xml:space="preserve">Level 1: Overall / Hub</w:t>
      </w:r>
    </w:p>
    <w:p>
      <w:pPr>
        <w:spacing w:after="160"/>
      </w:pPr>
      <w:r>
        <w:rPr>
          <w:rFonts w:ascii="Arial" w:cs="Arial" w:eastAsia="Arial" w:hAnsi="Arial"/>
          <w:b/>
          <w:bCs/>
          <w:color w:val="0E3A4D"/>
          <w:sz w:val="22"/>
          <w:szCs w:val="22"/>
        </w:rPr>
        <w:t xml:space="preserve">Emotional job: </w:t>
      </w:r>
      <w:r>
        <w:rPr>
          <w:rFonts w:ascii="Arial" w:cs="Arial" w:eastAsia="Arial" w:hAnsi="Arial"/>
          <w:color w:val="3D4659"/>
          <w:sz w:val="22"/>
          <w:szCs w:val="22"/>
        </w:rPr>
        <w:t xml:space="preserve">Orient the advisor. Answer “Where do I stand?” and “Where should I focus?” within five seconds.</w:t>
      </w:r>
    </w:p>
    <w:p>
      <w:pPr>
        <w:spacing w:after="160"/>
      </w:pPr>
      <w:r>
        <w:rPr>
          <w:rFonts w:ascii="Arial" w:cs="Arial" w:eastAsia="Arial" w:hAnsi="Arial"/>
          <w:b/>
          <w:bCs/>
          <w:color w:val="0E3A4D"/>
          <w:sz w:val="22"/>
          <w:szCs w:val="22"/>
        </w:rPr>
        <w:t xml:space="preserve">Treatments applied: </w:t>
      </w:r>
      <w:r>
        <w:rPr>
          <w:rFonts w:ascii="Arial" w:cs="Arial" w:eastAsia="Arial" w:hAnsi="Arial"/>
          <w:color w:val="3D4659"/>
          <w:sz w:val="22"/>
          <w:szCs w:val="22"/>
        </w:rPr>
        <w:t xml:space="preserve">Diagnostic Narrative + Recommendation. The hero verdict synthesizes the full picture into one meaningful moment, then points the advisor toward their highest-impact opportunity.</w:t>
      </w:r>
    </w:p>
    <w:p>
      <w:pPr>
        <w:pStyle w:val="Heading2"/>
      </w:pPr>
      <w:r>
        <w:t xml:space="preserve">Level 2: Priority / Attention</w:t>
      </w:r>
    </w:p>
    <w:p>
      <w:pPr>
        <w:spacing w:after="160"/>
      </w:pPr>
      <w:r>
        <w:rPr>
          <w:rFonts w:ascii="Arial" w:cs="Arial" w:eastAsia="Arial" w:hAnsi="Arial"/>
          <w:b/>
          <w:bCs/>
          <w:color w:val="0E3A4D"/>
          <w:sz w:val="22"/>
          <w:szCs w:val="22"/>
        </w:rPr>
        <w:t xml:space="preserve">Emotional job: </w:t>
      </w:r>
      <w:r>
        <w:rPr>
          <w:rFonts w:ascii="Arial" w:cs="Arial" w:eastAsia="Arial" w:hAnsi="Arial"/>
          <w:color w:val="3D4659"/>
          <w:sz w:val="22"/>
          <w:szCs w:val="22"/>
        </w:rPr>
        <w:t xml:space="preserve">Create urgency. Make the advisor feel the cost of inaction through specific evidence and client voice.</w:t>
      </w:r>
    </w:p>
    <w:p>
      <w:pPr>
        <w:spacing w:after="160"/>
      </w:pPr>
      <w:r>
        <w:rPr>
          <w:rFonts w:ascii="Arial" w:cs="Arial" w:eastAsia="Arial" w:hAnsi="Arial"/>
          <w:b/>
          <w:bCs/>
          <w:color w:val="0E3A4D"/>
          <w:sz w:val="22"/>
          <w:szCs w:val="22"/>
        </w:rPr>
        <w:t xml:space="preserve">Treatments applied: </w:t>
      </w:r>
      <w:r>
        <w:rPr>
          <w:rFonts w:ascii="Arial" w:cs="Arial" w:eastAsia="Arial" w:hAnsi="Arial"/>
          <w:color w:val="3D4659"/>
          <w:sz w:val="22"/>
          <w:szCs w:val="22"/>
        </w:rPr>
        <w:t xml:space="preserve">All five at full intensity. This is Point93’s maximum intelligence density, reserved for the area where the advisor has the most to gain. Observational evidence, client perspective, behavioral benchmark, diagnostic narrative, and recommendation all appear in dedicated visual containers.</w:t>
      </w:r>
    </w:p>
    <w:p>
      <w:pPr>
        <w:pStyle w:val="Heading2"/>
      </w:pPr>
      <w:r>
        <w:t xml:space="preserve">Level 3: Module / Assessment</w:t>
      </w:r>
    </w:p>
    <w:p>
      <w:pPr>
        <w:spacing w:after="160"/>
      </w:pPr>
      <w:r>
        <w:rPr>
          <w:rFonts w:ascii="Arial" w:cs="Arial" w:eastAsia="Arial" w:hAnsi="Arial"/>
          <w:b/>
          <w:bCs/>
          <w:color w:val="0E3A4D"/>
          <w:sz w:val="22"/>
          <w:szCs w:val="22"/>
        </w:rPr>
        <w:t xml:space="preserve">Emotional job: </w:t>
      </w:r>
      <w:r>
        <w:rPr>
          <w:rFonts w:ascii="Arial" w:cs="Arial" w:eastAsia="Arial" w:hAnsi="Arial"/>
          <w:color w:val="3D4659"/>
          <w:sz w:val="22"/>
          <w:szCs w:val="22"/>
        </w:rPr>
        <w:t xml:space="preserve">Inform and contextualize. Give the advisor a confident understanding of one practice area with enough specificity to feel real.</w:t>
      </w:r>
    </w:p>
    <w:p>
      <w:pPr>
        <w:spacing w:after="160"/>
      </w:pPr>
      <w:r>
        <w:rPr>
          <w:rFonts w:ascii="Arial" w:cs="Arial" w:eastAsia="Arial" w:hAnsi="Arial"/>
          <w:b/>
          <w:bCs/>
          <w:color w:val="0E3A4D"/>
          <w:sz w:val="22"/>
          <w:szCs w:val="22"/>
        </w:rPr>
        <w:t xml:space="preserve">Treatments applied: </w:t>
      </w:r>
      <w:r>
        <w:rPr>
          <w:rFonts w:ascii="Arial" w:cs="Arial" w:eastAsia="Arial" w:hAnsi="Arial"/>
          <w:color w:val="3D4659"/>
          <w:sz w:val="22"/>
          <w:szCs w:val="22"/>
        </w:rPr>
        <w:t xml:space="preserve">Diagnostic Narrative + Client Perspective. The narrative explains what the score means; the client voice makes it tangible. Data points available on expand for depth.</w:t>
      </w:r>
    </w:p>
    <w:p>
      <w:pPr>
        <w:pStyle w:val="Heading2"/>
      </w:pPr>
      <w:r>
        <w:t xml:space="preserve">Level 4: Strength / Advantage</w:t>
      </w:r>
    </w:p>
    <w:p>
      <w:pPr>
        <w:spacing w:after="160"/>
      </w:pPr>
      <w:r>
        <w:rPr>
          <w:rFonts w:ascii="Arial" w:cs="Arial" w:eastAsia="Arial" w:hAnsi="Arial"/>
          <w:b/>
          <w:bCs/>
          <w:color w:val="0E3A4D"/>
          <w:sz w:val="22"/>
          <w:szCs w:val="22"/>
        </w:rPr>
        <w:t xml:space="preserve">Emotional job: </w:t>
      </w:r>
      <w:r>
        <w:rPr>
          <w:rFonts w:ascii="Arial" w:cs="Arial" w:eastAsia="Arial" w:hAnsi="Arial"/>
          <w:color w:val="3D4659"/>
          <w:sz w:val="22"/>
          <w:szCs w:val="22"/>
        </w:rPr>
        <w:t xml:space="preserve">Validate and activate. Make the advisor feel proud AND give them something to do with their advantage.</w:t>
      </w:r>
    </w:p>
    <w:p>
      <w:pPr>
        <w:spacing w:after="160"/>
      </w:pPr>
      <w:r>
        <w:rPr>
          <w:rFonts w:ascii="Arial" w:cs="Arial" w:eastAsia="Arial" w:hAnsi="Arial"/>
          <w:b/>
          <w:bCs/>
          <w:color w:val="0E3A4D"/>
          <w:sz w:val="22"/>
          <w:szCs w:val="22"/>
        </w:rPr>
        <w:t xml:space="preserve">Treatments applied: </w:t>
      </w:r>
      <w:r>
        <w:rPr>
          <w:rFonts w:ascii="Arial" w:cs="Arial" w:eastAsia="Arial" w:hAnsi="Arial"/>
          <w:color w:val="3D4659"/>
          <w:sz w:val="22"/>
          <w:szCs w:val="22"/>
        </w:rPr>
        <w:t xml:space="preserve">Diagnostic Narrative framed as leverage. Not just “you’re good” but “here’s how this strength is already working for you, and here’s how to capitalize on it further.”</w:t>
      </w:r>
    </w:p>
    <w:p>
      <w:pPr>
        <w:pStyle w:val="Heading2"/>
      </w:pPr>
      <w:r>
        <w:t xml:space="preserve">Level 5: Data Point</w:t>
      </w:r>
    </w:p>
    <w:p>
      <w:pPr>
        <w:spacing w:after="160"/>
      </w:pPr>
      <w:r>
        <w:rPr>
          <w:rFonts w:ascii="Arial" w:cs="Arial" w:eastAsia="Arial" w:hAnsi="Arial"/>
          <w:b/>
          <w:bCs/>
          <w:color w:val="0E3A4D"/>
          <w:sz w:val="22"/>
          <w:szCs w:val="22"/>
        </w:rPr>
        <w:t xml:space="preserve">Emotional job: </w:t>
      </w:r>
      <w:r>
        <w:rPr>
          <w:rFonts w:ascii="Arial" w:cs="Arial" w:eastAsia="Arial" w:hAnsi="Arial"/>
          <w:color w:val="3D4659"/>
          <w:sz w:val="22"/>
          <w:szCs w:val="22"/>
        </w:rPr>
        <w:t xml:space="preserve">Ground the intelligence. Provide the atomic evidence behind higher-level narratives.</w:t>
      </w:r>
    </w:p>
    <w:p>
      <w:pPr>
        <w:spacing w:after="160"/>
      </w:pPr>
      <w:r>
        <w:rPr>
          <w:rFonts w:ascii="Arial" w:cs="Arial" w:eastAsia="Arial" w:hAnsi="Arial"/>
          <w:b/>
          <w:bCs/>
          <w:color w:val="0E3A4D"/>
          <w:sz w:val="22"/>
          <w:szCs w:val="22"/>
        </w:rPr>
        <w:t xml:space="preserve">Treatments applied: </w:t>
      </w:r>
      <w:r>
        <w:rPr>
          <w:rFonts w:ascii="Arial" w:cs="Arial" w:eastAsia="Arial" w:hAnsi="Arial"/>
          <w:color w:val="3D4659"/>
          <w:sz w:val="22"/>
          <w:szCs w:val="22"/>
        </w:rPr>
        <w:t xml:space="preserve">Description + Score + Visual indicator. Kept deliberately clean because context lives at the module level above. The data point answers “What specifically was measured?”</w:t>
      </w:r>
    </w:p>
    <w:p>
      <w:pPr>
        <w:spacing w:after="100"/>
      </w:pPr>
    </w:p>
    <w:p>
      <w:pPr>
        <w:pStyle w:val="Heading1"/>
      </w:pPr>
      <w:r>
        <w:t xml:space="preserve">Treatment Application Matrix</w:t>
      </w:r>
    </w:p>
    <w:p>
      <w:pPr>
        <w:spacing w:after="160"/>
      </w:pPr>
      <w:r>
        <w:rPr>
          <w:rFonts w:ascii="Arial" w:cs="Arial" w:eastAsia="Arial" w:hAnsi="Arial"/>
          <w:color w:val="3D4659"/>
          <w:sz w:val="22"/>
          <w:szCs w:val="22"/>
        </w:rPr>
        <w:t xml:space="preserve">This matrix defines exactly which treatments appear at each hierarchy level. ✓ = Required. — = Not applicable at this level.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72"/>
        <w:gridCol w:w="1472"/>
        <w:gridCol w:w="1472"/>
        <w:gridCol w:w="1472"/>
        <w:gridCol w:w="1472"/>
      </w:tblGrid>
      <w:tr>
        <w:tc>
          <w:tcPr>
            <w:tcW w:type="dxa" w:w="200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Hierarchy Level</w:t>
            </w:r>
          </w:p>
        </w:tc>
        <w:tc>
          <w:tcPr>
            <w:tcW w:type="dxa" w:w="1472"/>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Observational Evidence</w:t>
            </w:r>
          </w:p>
        </w:tc>
        <w:tc>
          <w:tcPr>
            <w:tcW w:type="dxa" w:w="1472"/>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Client Perspective</w:t>
            </w:r>
          </w:p>
        </w:tc>
        <w:tc>
          <w:tcPr>
            <w:tcW w:type="dxa" w:w="1472"/>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Behavioral Benchmark</w:t>
            </w:r>
          </w:p>
        </w:tc>
        <w:tc>
          <w:tcPr>
            <w:tcW w:type="dxa" w:w="1472"/>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Diagnostic Narrative</w:t>
            </w:r>
          </w:p>
        </w:tc>
        <w:tc>
          <w:tcPr>
            <w:tcW w:type="dxa" w:w="1472"/>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Recommendation</w:t>
            </w:r>
          </w:p>
        </w:tc>
      </w:tr>
      <w:tr>
        <w:tc>
          <w:tcPr>
            <w:tcW w:type="dxa" w:w="20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vAlign w:val="center"/>
          </w:tcPr>
          <w:p>
            <w:pPr>
              <w:jc w:val="left"/>
            </w:pPr>
            <w:r>
              <w:rPr>
                <w:rFonts w:ascii="Arial" w:cs="Arial" w:eastAsia="Arial" w:hAnsi="Arial"/>
                <w:b/>
                <w:bCs/>
                <w:color w:val="3D4659"/>
                <w:sz w:val="20"/>
                <w:szCs w:val="20"/>
              </w:rPr>
              <w:t xml:space="preserve">Overall / Hub</w:t>
            </w:r>
          </w:p>
        </w:tc>
        <w:tc>
          <w:tcPr>
            <w:tcW w:type="dxa" w:w="1472"/>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vAlign w:val="center"/>
          </w:tcPr>
          <w:p>
            <w:pPr>
              <w:jc w:val="center"/>
            </w:pPr>
            <w:r>
              <w:rPr>
                <w:rFonts w:ascii="Arial" w:cs="Arial" w:eastAsia="Arial" w:hAnsi="Arial"/>
                <w:b w:val="false"/>
                <w:bCs w:val="false"/>
                <w:color w:val="6E7A8F"/>
                <w:sz w:val="18"/>
                <w:szCs w:val="18"/>
              </w:rPr>
              <w:t xml:space="preserve">—</w:t>
            </w:r>
          </w:p>
        </w:tc>
        <w:tc>
          <w:tcPr>
            <w:tcW w:type="dxa" w:w="1472"/>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vAlign w:val="center"/>
          </w:tcPr>
          <w:p>
            <w:pPr>
              <w:jc w:val="center"/>
            </w:pPr>
            <w:r>
              <w:rPr>
                <w:rFonts w:ascii="Arial" w:cs="Arial" w:eastAsia="Arial" w:hAnsi="Arial"/>
                <w:b w:val="false"/>
                <w:bCs w:val="false"/>
                <w:color w:val="6E7A8F"/>
                <w:sz w:val="18"/>
                <w:szCs w:val="18"/>
              </w:rPr>
              <w:t xml:space="preserve">—</w:t>
            </w:r>
          </w:p>
        </w:tc>
        <w:tc>
          <w:tcPr>
            <w:tcW w:type="dxa" w:w="1472"/>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vAlign w:val="center"/>
          </w:tcPr>
          <w:p>
            <w:pPr>
              <w:jc w:val="center"/>
            </w:pPr>
            <w:r>
              <w:rPr>
                <w:rFonts w:ascii="Arial" w:cs="Arial" w:eastAsia="Arial" w:hAnsi="Arial"/>
                <w:b w:val="false"/>
                <w:bCs w:val="false"/>
                <w:color w:val="6E7A8F"/>
                <w:sz w:val="18"/>
                <w:szCs w:val="18"/>
              </w:rPr>
              <w:t xml:space="preserve">—</w:t>
            </w:r>
          </w:p>
        </w:tc>
        <w:tc>
          <w:tcPr>
            <w:tcW w:type="dxa" w:w="1472"/>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vAlign w:val="center"/>
          </w:tcPr>
          <w:p>
            <w:pPr>
              <w:jc w:val="center"/>
            </w:pPr>
            <w:r>
              <w:rPr>
                <w:rFonts w:ascii="Arial" w:cs="Arial" w:eastAsia="Arial" w:hAnsi="Arial"/>
                <w:b w:val="false"/>
                <w:bCs w:val="false"/>
                <w:color w:val="1A7A45"/>
                <w:sz w:val="18"/>
                <w:szCs w:val="18"/>
              </w:rPr>
              <w:t xml:space="preserve">✓</w:t>
            </w:r>
          </w:p>
        </w:tc>
        <w:tc>
          <w:tcPr>
            <w:tcW w:type="dxa" w:w="1472"/>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vAlign w:val="center"/>
          </w:tcPr>
          <w:p>
            <w:pPr>
              <w:jc w:val="center"/>
            </w:pPr>
            <w:r>
              <w:rPr>
                <w:rFonts w:ascii="Arial" w:cs="Arial" w:eastAsia="Arial" w:hAnsi="Arial"/>
                <w:b w:val="false"/>
                <w:bCs w:val="false"/>
                <w:color w:val="1A7A45"/>
                <w:sz w:val="18"/>
                <w:szCs w:val="18"/>
              </w:rPr>
              <w:t xml:space="preserve">✓</w:t>
            </w:r>
          </w:p>
        </w:tc>
      </w:tr>
      <w:tr>
        <w:tc>
          <w:tcPr>
            <w:tcW w:type="dxa" w:w="20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vAlign w:val="center"/>
          </w:tcPr>
          <w:p>
            <w:pPr>
              <w:jc w:val="left"/>
            </w:pPr>
            <w:r>
              <w:rPr>
                <w:rFonts w:ascii="Arial" w:cs="Arial" w:eastAsia="Arial" w:hAnsi="Arial"/>
                <w:b/>
                <w:bCs/>
                <w:color w:val="3D4659"/>
                <w:sz w:val="20"/>
                <w:szCs w:val="20"/>
              </w:rPr>
              <w:t xml:space="preserve">Priority / Attention</w:t>
            </w:r>
          </w:p>
        </w:tc>
        <w:tc>
          <w:tcPr>
            <w:tcW w:type="dxa" w:w="1472"/>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7A45"/>
                <w:sz w:val="18"/>
                <w:szCs w:val="18"/>
              </w:rPr>
              <w:t xml:space="preserve">✓</w:t>
            </w:r>
          </w:p>
        </w:tc>
        <w:tc>
          <w:tcPr>
            <w:tcW w:type="dxa" w:w="1472"/>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7A45"/>
                <w:sz w:val="18"/>
                <w:szCs w:val="18"/>
              </w:rPr>
              <w:t xml:space="preserve">✓</w:t>
            </w:r>
          </w:p>
        </w:tc>
        <w:tc>
          <w:tcPr>
            <w:tcW w:type="dxa" w:w="1472"/>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7A45"/>
                <w:sz w:val="18"/>
                <w:szCs w:val="18"/>
              </w:rPr>
              <w:t xml:space="preserve">✓</w:t>
            </w:r>
          </w:p>
        </w:tc>
        <w:tc>
          <w:tcPr>
            <w:tcW w:type="dxa" w:w="1472"/>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7A45"/>
                <w:sz w:val="18"/>
                <w:szCs w:val="18"/>
              </w:rPr>
              <w:t xml:space="preserve">✓</w:t>
            </w:r>
          </w:p>
        </w:tc>
        <w:tc>
          <w:tcPr>
            <w:tcW w:type="dxa" w:w="1472"/>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7A45"/>
                <w:sz w:val="18"/>
                <w:szCs w:val="18"/>
              </w:rPr>
              <w:t xml:space="preserve">✓</w:t>
            </w:r>
          </w:p>
        </w:tc>
      </w:tr>
      <w:tr>
        <w:tc>
          <w:tcPr>
            <w:tcW w:type="dxa" w:w="20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vAlign w:val="center"/>
          </w:tcPr>
          <w:p>
            <w:pPr>
              <w:jc w:val="left"/>
            </w:pPr>
            <w:r>
              <w:rPr>
                <w:rFonts w:ascii="Arial" w:cs="Arial" w:eastAsia="Arial" w:hAnsi="Arial"/>
                <w:b/>
                <w:bCs/>
                <w:color w:val="3D4659"/>
                <w:sz w:val="20"/>
                <w:szCs w:val="20"/>
              </w:rPr>
              <w:t xml:space="preserve">Module / Assessment</w:t>
            </w:r>
          </w:p>
        </w:tc>
        <w:tc>
          <w:tcPr>
            <w:tcW w:type="dxa" w:w="1472"/>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vAlign w:val="center"/>
          </w:tcPr>
          <w:p>
            <w:pPr>
              <w:jc w:val="center"/>
            </w:pPr>
            <w:r>
              <w:rPr>
                <w:rFonts w:ascii="Arial" w:cs="Arial" w:eastAsia="Arial" w:hAnsi="Arial"/>
                <w:b w:val="false"/>
                <w:bCs w:val="false"/>
                <w:color w:val="6E7A8F"/>
                <w:sz w:val="18"/>
                <w:szCs w:val="18"/>
              </w:rPr>
              <w:t xml:space="preserve">—</w:t>
            </w:r>
          </w:p>
        </w:tc>
        <w:tc>
          <w:tcPr>
            <w:tcW w:type="dxa" w:w="1472"/>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vAlign w:val="center"/>
          </w:tcPr>
          <w:p>
            <w:pPr>
              <w:jc w:val="center"/>
            </w:pPr>
            <w:r>
              <w:rPr>
                <w:rFonts w:ascii="Arial" w:cs="Arial" w:eastAsia="Arial" w:hAnsi="Arial"/>
                <w:b w:val="false"/>
                <w:bCs w:val="false"/>
                <w:color w:val="1A7A45"/>
                <w:sz w:val="18"/>
                <w:szCs w:val="18"/>
              </w:rPr>
              <w:t xml:space="preserve">✓</w:t>
            </w:r>
          </w:p>
        </w:tc>
        <w:tc>
          <w:tcPr>
            <w:tcW w:type="dxa" w:w="1472"/>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vAlign w:val="center"/>
          </w:tcPr>
          <w:p>
            <w:pPr>
              <w:jc w:val="center"/>
            </w:pPr>
            <w:r>
              <w:rPr>
                <w:rFonts w:ascii="Arial" w:cs="Arial" w:eastAsia="Arial" w:hAnsi="Arial"/>
                <w:b w:val="false"/>
                <w:bCs w:val="false"/>
                <w:color w:val="6E7A8F"/>
                <w:sz w:val="18"/>
                <w:szCs w:val="18"/>
              </w:rPr>
              <w:t xml:space="preserve">—</w:t>
            </w:r>
          </w:p>
        </w:tc>
        <w:tc>
          <w:tcPr>
            <w:tcW w:type="dxa" w:w="1472"/>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vAlign w:val="center"/>
          </w:tcPr>
          <w:p>
            <w:pPr>
              <w:jc w:val="center"/>
            </w:pPr>
            <w:r>
              <w:rPr>
                <w:rFonts w:ascii="Arial" w:cs="Arial" w:eastAsia="Arial" w:hAnsi="Arial"/>
                <w:b w:val="false"/>
                <w:bCs w:val="false"/>
                <w:color w:val="1A7A45"/>
                <w:sz w:val="18"/>
                <w:szCs w:val="18"/>
              </w:rPr>
              <w:t xml:space="preserve">✓</w:t>
            </w:r>
          </w:p>
        </w:tc>
        <w:tc>
          <w:tcPr>
            <w:tcW w:type="dxa" w:w="1472"/>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vAlign w:val="center"/>
          </w:tcPr>
          <w:p>
            <w:pPr>
              <w:jc w:val="center"/>
            </w:pPr>
            <w:r>
              <w:rPr>
                <w:rFonts w:ascii="Arial" w:cs="Arial" w:eastAsia="Arial" w:hAnsi="Arial"/>
                <w:b w:val="false"/>
                <w:bCs w:val="false"/>
                <w:color w:val="6E7A8F"/>
                <w:sz w:val="18"/>
                <w:szCs w:val="18"/>
              </w:rPr>
              <w:t xml:space="preserve">—</w:t>
            </w:r>
          </w:p>
        </w:tc>
      </w:tr>
      <w:tr>
        <w:tc>
          <w:tcPr>
            <w:tcW w:type="dxa" w:w="20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vAlign w:val="center"/>
          </w:tcPr>
          <w:p>
            <w:pPr>
              <w:jc w:val="left"/>
            </w:pPr>
            <w:r>
              <w:rPr>
                <w:rFonts w:ascii="Arial" w:cs="Arial" w:eastAsia="Arial" w:hAnsi="Arial"/>
                <w:b/>
                <w:bCs/>
                <w:color w:val="3D4659"/>
                <w:sz w:val="20"/>
                <w:szCs w:val="20"/>
              </w:rPr>
              <w:t xml:space="preserve">Strength / Advantage</w:t>
            </w:r>
          </w:p>
        </w:tc>
        <w:tc>
          <w:tcPr>
            <w:tcW w:type="dxa" w:w="1472"/>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6E7A8F"/>
                <w:sz w:val="18"/>
                <w:szCs w:val="18"/>
              </w:rPr>
              <w:t xml:space="preserve">—</w:t>
            </w:r>
          </w:p>
        </w:tc>
        <w:tc>
          <w:tcPr>
            <w:tcW w:type="dxa" w:w="1472"/>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6E7A8F"/>
                <w:sz w:val="18"/>
                <w:szCs w:val="18"/>
              </w:rPr>
              <w:t xml:space="preserve">—</w:t>
            </w:r>
          </w:p>
        </w:tc>
        <w:tc>
          <w:tcPr>
            <w:tcW w:type="dxa" w:w="1472"/>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6E7A8F"/>
                <w:sz w:val="18"/>
                <w:szCs w:val="18"/>
              </w:rPr>
              <w:t xml:space="preserve">—</w:t>
            </w:r>
          </w:p>
        </w:tc>
        <w:tc>
          <w:tcPr>
            <w:tcW w:type="dxa" w:w="1472"/>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3D4659"/>
                <w:sz w:val="18"/>
                <w:szCs w:val="18"/>
              </w:rPr>
              <w:t xml:space="preserve">✓*</w:t>
            </w:r>
          </w:p>
        </w:tc>
        <w:tc>
          <w:tcPr>
            <w:tcW w:type="dxa" w:w="1472"/>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6E7A8F"/>
                <w:sz w:val="18"/>
                <w:szCs w:val="18"/>
              </w:rPr>
              <w:t xml:space="preserve">—</w:t>
            </w:r>
          </w:p>
        </w:tc>
      </w:tr>
      <w:tr>
        <w:tc>
          <w:tcPr>
            <w:tcW w:type="dxa" w:w="20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vAlign w:val="center"/>
          </w:tcPr>
          <w:p>
            <w:pPr>
              <w:jc w:val="left"/>
            </w:pPr>
            <w:r>
              <w:rPr>
                <w:rFonts w:ascii="Arial" w:cs="Arial" w:eastAsia="Arial" w:hAnsi="Arial"/>
                <w:b/>
                <w:bCs/>
                <w:color w:val="3D4659"/>
                <w:sz w:val="20"/>
                <w:szCs w:val="20"/>
              </w:rPr>
              <w:t xml:space="preserve">Data Point</w:t>
            </w:r>
          </w:p>
        </w:tc>
        <w:tc>
          <w:tcPr>
            <w:tcW w:type="dxa" w:w="1472"/>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vAlign w:val="center"/>
          </w:tcPr>
          <w:p>
            <w:pPr>
              <w:jc w:val="center"/>
            </w:pPr>
            <w:r>
              <w:rPr>
                <w:rFonts w:ascii="Arial" w:cs="Arial" w:eastAsia="Arial" w:hAnsi="Arial"/>
                <w:b w:val="false"/>
                <w:bCs w:val="false"/>
                <w:color w:val="6E7A8F"/>
                <w:sz w:val="18"/>
                <w:szCs w:val="18"/>
              </w:rPr>
              <w:t xml:space="preserve">—</w:t>
            </w:r>
          </w:p>
        </w:tc>
        <w:tc>
          <w:tcPr>
            <w:tcW w:type="dxa" w:w="1472"/>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vAlign w:val="center"/>
          </w:tcPr>
          <w:p>
            <w:pPr>
              <w:jc w:val="center"/>
            </w:pPr>
            <w:r>
              <w:rPr>
                <w:rFonts w:ascii="Arial" w:cs="Arial" w:eastAsia="Arial" w:hAnsi="Arial"/>
                <w:b w:val="false"/>
                <w:bCs w:val="false"/>
                <w:color w:val="6E7A8F"/>
                <w:sz w:val="18"/>
                <w:szCs w:val="18"/>
              </w:rPr>
              <w:t xml:space="preserve">—</w:t>
            </w:r>
          </w:p>
        </w:tc>
        <w:tc>
          <w:tcPr>
            <w:tcW w:type="dxa" w:w="1472"/>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vAlign w:val="center"/>
          </w:tcPr>
          <w:p>
            <w:pPr>
              <w:jc w:val="center"/>
            </w:pPr>
            <w:r>
              <w:rPr>
                <w:rFonts w:ascii="Arial" w:cs="Arial" w:eastAsia="Arial" w:hAnsi="Arial"/>
                <w:b w:val="false"/>
                <w:bCs w:val="false"/>
                <w:color w:val="6E7A8F"/>
                <w:sz w:val="18"/>
                <w:szCs w:val="18"/>
              </w:rPr>
              <w:t xml:space="preserve">—</w:t>
            </w:r>
          </w:p>
        </w:tc>
        <w:tc>
          <w:tcPr>
            <w:tcW w:type="dxa" w:w="1472"/>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vAlign w:val="center"/>
          </w:tcPr>
          <w:p>
            <w:pPr>
              <w:jc w:val="center"/>
            </w:pPr>
            <w:r>
              <w:rPr>
                <w:rFonts w:ascii="Arial" w:cs="Arial" w:eastAsia="Arial" w:hAnsi="Arial"/>
                <w:b w:val="false"/>
                <w:bCs w:val="false"/>
                <w:color w:val="6E7A8F"/>
                <w:sz w:val="18"/>
                <w:szCs w:val="18"/>
              </w:rPr>
              <w:t xml:space="preserve">—</w:t>
            </w:r>
          </w:p>
        </w:tc>
        <w:tc>
          <w:tcPr>
            <w:tcW w:type="dxa" w:w="1472"/>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vAlign w:val="center"/>
          </w:tcPr>
          <w:p>
            <w:pPr>
              <w:jc w:val="center"/>
            </w:pPr>
            <w:r>
              <w:rPr>
                <w:rFonts w:ascii="Arial" w:cs="Arial" w:eastAsia="Arial" w:hAnsi="Arial"/>
                <w:b w:val="false"/>
                <w:bCs w:val="false"/>
                <w:color w:val="6E7A8F"/>
                <w:sz w:val="18"/>
                <w:szCs w:val="18"/>
              </w:rPr>
              <w:t xml:space="preserve">—</w:t>
            </w:r>
          </w:p>
        </w:tc>
      </w:tr>
    </w:tbl>
    <w:p>
      <w:pPr>
        <w:spacing w:after="60"/>
      </w:pPr>
    </w:p>
    <w:p>
      <w:pPr>
        <w:spacing w:after="160"/>
      </w:pPr>
      <w:r>
        <w:rPr>
          <w:rFonts w:ascii="Arial" w:cs="Arial" w:eastAsia="Arial" w:hAnsi="Arial"/>
          <w:color w:val="6E7A8F"/>
          <w:sz w:val="18"/>
          <w:szCs w:val="18"/>
        </w:rPr>
        <w:t xml:space="preserve">* Diagnostic Narrative at the Strength level is framed as leverage/activation rather than diagnosis.</w:t>
      </w:r>
    </w:p>
    <w:p>
      <w:r>
        <w:br w:type="page"/>
      </w:r>
    </w:p>
    <w:p>
      <w:pPr>
        <w:pStyle w:val="Heading1"/>
      </w:pPr>
      <w:r>
        <w:t xml:space="preserve">The Emotional Arc</w:t>
      </w:r>
    </w:p>
    <w:p>
      <w:pPr>
        <w:spacing w:after="160"/>
      </w:pPr>
      <w:r>
        <w:rPr>
          <w:rFonts w:ascii="Arial" w:cs="Arial" w:eastAsia="Arial" w:hAnsi="Arial"/>
          <w:color w:val="3D4659"/>
          <w:sz w:val="22"/>
          <w:szCs w:val="22"/>
        </w:rPr>
        <w:t xml:space="preserve">The hub page is not a dashboard. It is a briefing that moves through a deliberate emotional sequence. Each section has a different temperature, creating an arc that keeps the advisor engaged from top to bottom.</w:t>
      </w:r>
    </w:p>
    <w:p>
      <w:pPr>
        <w:spacing w:after="80"/>
      </w:pPr>
    </w:p>
    <w:p>
      <w:pPr>
        <w:pStyle w:val="Heading3"/>
      </w:pPr>
      <w:r>
        <w:t xml:space="preserve">Section 1 — Hero Verdict</w:t>
      </w:r>
    </w:p>
    <w:p>
      <w:pPr>
        <w:spacing w:after="160"/>
      </w:pPr>
      <w:r>
        <w:rPr>
          <w:rFonts w:ascii="Arial" w:cs="Arial" w:eastAsia="Arial" w:hAnsi="Arial"/>
          <w:b/>
          <w:bCs/>
          <w:color w:val="0E3A4D"/>
          <w:sz w:val="22"/>
          <w:szCs w:val="22"/>
        </w:rPr>
        <w:t xml:space="preserve">Temperature: Warm, confident, direct.</w:t>
      </w:r>
    </w:p>
    <w:p>
      <w:pPr>
        <w:spacing w:after="160"/>
      </w:pPr>
      <w:r>
        <w:rPr>
          <w:rFonts w:ascii="Arial" w:cs="Arial" w:eastAsia="Arial" w:hAnsi="Arial"/>
          <w:color w:val="3D4659"/>
          <w:sz w:val="22"/>
          <w:szCs w:val="22"/>
        </w:rPr>
        <w:t xml:space="preserve">The advisor arrives and immediately understands where they stand. The verdict balances validation (“your investment rigor sets you apart”) with direction (“but your clients don’t know that yet”). Ends with a clear recommendation. The advisor feels: oriented, respected, motivated.</w:t>
      </w:r>
    </w:p>
    <w:p>
      <w:pPr>
        <w:pStyle w:val="Heading3"/>
      </w:pPr>
      <w:r>
        <w:t xml:space="preserve">Section 2 — Priority / Biggest Opportunity</w:t>
      </w:r>
    </w:p>
    <w:p>
      <w:pPr>
        <w:spacing w:after="160"/>
      </w:pPr>
      <w:r>
        <w:rPr>
          <w:rFonts w:ascii="Arial" w:cs="Arial" w:eastAsia="Arial" w:hAnsi="Arial"/>
          <w:b/>
          <w:bCs/>
          <w:color w:val="0E3A4D"/>
          <w:sz w:val="22"/>
          <w:szCs w:val="22"/>
        </w:rPr>
        <w:t xml:space="preserve">Temperature: Urgent, specific, evidence-driven.</w:t>
      </w:r>
    </w:p>
    <w:p>
      <w:pPr>
        <w:spacing w:after="160"/>
      </w:pPr>
      <w:r>
        <w:rPr>
          <w:rFonts w:ascii="Arial" w:cs="Arial" w:eastAsia="Arial" w:hAnsi="Arial"/>
          <w:color w:val="3D4659"/>
          <w:sz w:val="22"/>
          <w:szCs w:val="22"/>
        </w:rPr>
        <w:t xml:space="preserve">This is the emotional peak. The observational evidence makes the problem concrete. The client voice makes it personal. The behavioral benchmark makes it solvable. The advisor feels: concerned but empowered — they see the gap AND the path to close it.</w:t>
      </w:r>
    </w:p>
    <w:p>
      <w:pPr>
        <w:pStyle w:val="Heading3"/>
      </w:pPr>
      <w:r>
        <w:t xml:space="preserve">Section 3 — Cross-Practice Intelligence</w:t>
      </w:r>
    </w:p>
    <w:p>
      <w:pPr>
        <w:spacing w:after="160"/>
      </w:pPr>
      <w:r>
        <w:rPr>
          <w:rFonts w:ascii="Arial" w:cs="Arial" w:eastAsia="Arial" w:hAnsi="Arial"/>
          <w:b/>
          <w:bCs/>
          <w:color w:val="0E3A4D"/>
          <w:sz w:val="22"/>
          <w:szCs w:val="22"/>
        </w:rPr>
        <w:t xml:space="preserve">Temperature: Aspirational, forward-looking.</w:t>
      </w:r>
    </w:p>
    <w:p>
      <w:pPr>
        <w:spacing w:after="160"/>
      </w:pPr>
      <w:r>
        <w:rPr>
          <w:rFonts w:ascii="Arial" w:cs="Arial" w:eastAsia="Arial" w:hAnsi="Arial"/>
          <w:color w:val="3D4659"/>
          <w:sz w:val="22"/>
          <w:szCs w:val="22"/>
        </w:rPr>
        <w:t xml:space="preserve">A deliberate cooldown from the priority section’s urgency. Shows the advisor what’s building as they complete more assessments. The advisor feels: curious, invested in continuing the journey.</w:t>
      </w:r>
    </w:p>
    <w:p>
      <w:pPr>
        <w:pStyle w:val="Heading3"/>
      </w:pPr>
      <w:r>
        <w:t xml:space="preserve">Section 4 — Assessment Cards</w:t>
      </w:r>
    </w:p>
    <w:p>
      <w:pPr>
        <w:spacing w:after="160"/>
      </w:pPr>
      <w:r>
        <w:rPr>
          <w:rFonts w:ascii="Arial" w:cs="Arial" w:eastAsia="Arial" w:hAnsi="Arial"/>
          <w:b/>
          <w:bCs/>
          <w:color w:val="0E3A4D"/>
          <w:sz w:val="22"/>
          <w:szCs w:val="22"/>
        </w:rPr>
        <w:t xml:space="preserve">Temperature: Informational, scannable, respectful of time.</w:t>
      </w:r>
    </w:p>
    <w:p>
      <w:pPr>
        <w:spacing w:after="160"/>
      </w:pPr>
      <w:r>
        <w:rPr>
          <w:rFonts w:ascii="Arial" w:cs="Arial" w:eastAsia="Arial" w:hAnsi="Arial"/>
          <w:color w:val="3D4659"/>
          <w:sz w:val="22"/>
          <w:szCs w:val="22"/>
        </w:rPr>
        <w:t xml:space="preserve">Lower intensity by design. The advisor can scan or drill deeper at their own pace. Client voice quotes in each card maintain the human layer without demanding attention. The advisor feels: informed, in control.</w:t>
      </w:r>
    </w:p>
    <w:p>
      <w:pPr>
        <w:pStyle w:val="Heading3"/>
      </w:pPr>
      <w:r>
        <w:t xml:space="preserve">Section 5 — Leverage Your Strengths</w:t>
      </w:r>
    </w:p>
    <w:p>
      <w:pPr>
        <w:spacing w:after="160"/>
      </w:pPr>
      <w:r>
        <w:rPr>
          <w:rFonts w:ascii="Arial" w:cs="Arial" w:eastAsia="Arial" w:hAnsi="Arial"/>
          <w:b/>
          <w:bCs/>
          <w:color w:val="0E3A4D"/>
          <w:sz w:val="22"/>
          <w:szCs w:val="22"/>
        </w:rPr>
        <w:t xml:space="preserve">Temperature: Positive, activating, strategic.</w:t>
      </w:r>
    </w:p>
    <w:p>
      <w:pPr>
        <w:spacing w:after="160"/>
      </w:pPr>
      <w:r>
        <w:rPr>
          <w:rFonts w:ascii="Arial" w:cs="Arial" w:eastAsia="Arial" w:hAnsi="Arial"/>
          <w:color w:val="3D4659"/>
          <w:sz w:val="22"/>
          <w:szCs w:val="22"/>
        </w:rPr>
        <w:t xml:space="preserve">The page ends on a high note. Strengths framed as competitive advantages with actionable guidance. The advisor leaves the page feeling: proud, strategic, ready to act. This is the emotional state that drives return visits.</w:t>
      </w:r>
    </w:p>
    <w:p>
      <w:r>
        <w:br w:type="page"/>
      </w:r>
    </w:p>
    <w:p>
      <w:pPr>
        <w:pStyle w:val="Heading1"/>
      </w:pPr>
      <w:r>
        <w:t xml:space="preserve">Content Authoring Requirements</w:t>
      </w:r>
    </w:p>
    <w:p>
      <w:pPr>
        <w:spacing w:after="160"/>
      </w:pPr>
      <w:r>
        <w:rPr>
          <w:rFonts w:ascii="Arial" w:cs="Arial" w:eastAsia="Arial" w:hAnsi="Arial"/>
          <w:color w:val="3D4659"/>
          <w:sz w:val="22"/>
          <w:szCs w:val="22"/>
        </w:rPr>
        <w:t xml:space="preserve">The Intelligence Treatment Framework creates a clear content authoring specification. For each module in the Point93 assessment library, the following content must be authored to populate all treatment containers across the platform.</w:t>
      </w:r>
    </w:p>
    <w:p>
      <w:pPr>
        <w:spacing w:after="80"/>
      </w:pPr>
    </w:p>
    <w:p>
      <w:pPr>
        <w:pStyle w:val="Heading2"/>
      </w:pPr>
      <w:r>
        <w:t xml:space="preserve">Per Module (Required)</w:t>
      </w:r>
    </w:p>
    <w:p>
      <w:pPr>
        <w:pStyle w:val="ListParagraph"/>
        <w:numPr>
          <w:ilvl w:val="0"/>
          <w:numId w:val="2"/>
        </w:numPr>
        <w:spacing w:after="100"/>
      </w:pPr>
      <w:r>
        <w:rPr>
          <w:rFonts w:ascii="Arial" w:cs="Arial" w:eastAsia="Arial" w:hAnsi="Arial"/>
          <w:b/>
          <w:bCs/>
          <w:color w:val="0E3A4D"/>
          <w:sz w:val="22"/>
          <w:szCs w:val="22"/>
        </w:rPr>
        <w:t xml:space="preserve">Diagnostic Narrative </w:t>
      </w:r>
      <w:r>
        <w:rPr>
          <w:rFonts w:ascii="Arial" w:cs="Arial" w:eastAsia="Arial" w:hAnsi="Arial"/>
          <w:color w:val="3D4659"/>
          <w:sz w:val="22"/>
          <w:szCs w:val="22"/>
        </w:rPr>
        <w:t xml:space="preserve">— Band-adaptive (one version per performance band: Competitive, Good, Needs Work, At Risk). 1–2 sentences connecting score to business impact.</w:t>
      </w:r>
    </w:p>
    <w:p>
      <w:pPr>
        <w:pStyle w:val="ListParagraph"/>
        <w:numPr>
          <w:ilvl w:val="0"/>
          <w:numId w:val="2"/>
        </w:numPr>
        <w:spacing w:after="100"/>
      </w:pPr>
      <w:r>
        <w:rPr>
          <w:rFonts w:ascii="Arial" w:cs="Arial" w:eastAsia="Arial" w:hAnsi="Arial"/>
          <w:b/>
          <w:bCs/>
          <w:color w:val="0E3A4D"/>
          <w:sz w:val="22"/>
          <w:szCs w:val="22"/>
        </w:rPr>
        <w:t xml:space="preserve">Client Perspective Quote </w:t>
      </w:r>
      <w:r>
        <w:rPr>
          <w:rFonts w:ascii="Arial" w:cs="Arial" w:eastAsia="Arial" w:hAnsi="Arial"/>
          <w:color w:val="3D4659"/>
          <w:sz w:val="22"/>
          <w:szCs w:val="22"/>
        </w:rPr>
        <w:t xml:space="preserve">— Band-adaptive composite. Represents what clients actually said in evaluations. Must feel specific, not generic.</w:t>
      </w:r>
    </w:p>
    <w:p>
      <w:pPr>
        <w:pStyle w:val="ListParagraph"/>
        <w:numPr>
          <w:ilvl w:val="0"/>
          <w:numId w:val="2"/>
        </w:numPr>
        <w:spacing w:after="100"/>
      </w:pPr>
      <w:r>
        <w:rPr>
          <w:rFonts w:ascii="Arial" w:cs="Arial" w:eastAsia="Arial" w:hAnsi="Arial"/>
          <w:b/>
          <w:bCs/>
          <w:color w:val="0E3A4D"/>
          <w:sz w:val="22"/>
          <w:szCs w:val="22"/>
        </w:rPr>
        <w:t xml:space="preserve">Observational Evidence Summary </w:t>
      </w:r>
      <w:r>
        <w:rPr>
          <w:rFonts w:ascii="Arial" w:cs="Arial" w:eastAsia="Arial" w:hAnsi="Arial"/>
          <w:color w:val="3D4659"/>
          <w:sz w:val="22"/>
          <w:szCs w:val="22"/>
        </w:rPr>
        <w:t xml:space="preserve">— Band-adaptive. 2–4 sentences of specific behavioral observations. Must include concrete details (numbers, scenarios, behaviors observed).</w:t>
      </w:r>
    </w:p>
    <w:p>
      <w:pPr>
        <w:pStyle w:val="ListParagraph"/>
        <w:numPr>
          <w:ilvl w:val="0"/>
          <w:numId w:val="2"/>
        </w:numPr>
        <w:spacing w:after="100"/>
      </w:pPr>
      <w:r>
        <w:rPr>
          <w:rFonts w:ascii="Arial" w:cs="Arial" w:eastAsia="Arial" w:hAnsi="Arial"/>
          <w:b/>
          <w:bCs/>
          <w:color w:val="0E3A4D"/>
          <w:sz w:val="22"/>
          <w:szCs w:val="22"/>
        </w:rPr>
        <w:t xml:space="preserve">Behavioral Benchmark </w:t>
      </w:r>
      <w:r>
        <w:rPr>
          <w:rFonts w:ascii="Arial" w:cs="Arial" w:eastAsia="Arial" w:hAnsi="Arial"/>
          <w:color w:val="3D4659"/>
          <w:sz w:val="22"/>
          <w:szCs w:val="22"/>
        </w:rPr>
        <w:t xml:space="preserve">— What top-5% advisors do differently in this area. Must include at least one specific statistic or behavior pattern.</w:t>
      </w:r>
    </w:p>
    <w:p>
      <w:pPr>
        <w:pStyle w:val="ListParagraph"/>
        <w:numPr>
          <w:ilvl w:val="0"/>
          <w:numId w:val="2"/>
        </w:numPr>
        <w:spacing w:after="100"/>
      </w:pPr>
      <w:r>
        <w:rPr>
          <w:rFonts w:ascii="Arial" w:cs="Arial" w:eastAsia="Arial" w:hAnsi="Arial"/>
          <w:b/>
          <w:bCs/>
          <w:color w:val="0E3A4D"/>
          <w:sz w:val="22"/>
          <w:szCs w:val="22"/>
        </w:rPr>
        <w:t xml:space="preserve">Recommendation </w:t>
      </w:r>
      <w:r>
        <w:rPr>
          <w:rFonts w:ascii="Arial" w:cs="Arial" w:eastAsia="Arial" w:hAnsi="Arial"/>
          <w:color w:val="3D4659"/>
          <w:sz w:val="22"/>
          <w:szCs w:val="22"/>
        </w:rPr>
        <w:t xml:space="preserve">— Band-adaptive. Specific, actionable guidance appropriate to the advisor’s current performance level. Not generic advice.</w:t>
      </w:r>
    </w:p>
    <w:p>
      <w:pPr>
        <w:pStyle w:val="ListParagraph"/>
        <w:numPr>
          <w:ilvl w:val="0"/>
          <w:numId w:val="2"/>
        </w:numPr>
        <w:spacing w:after="100"/>
      </w:pPr>
      <w:r>
        <w:rPr>
          <w:rFonts w:ascii="Arial" w:cs="Arial" w:eastAsia="Arial" w:hAnsi="Arial"/>
          <w:b/>
          <w:bCs/>
          <w:color w:val="0E3A4D"/>
          <w:sz w:val="22"/>
          <w:szCs w:val="22"/>
        </w:rPr>
        <w:t xml:space="preserve">Strength Leverage Narrative </w:t>
      </w:r>
      <w:r>
        <w:rPr>
          <w:rFonts w:ascii="Arial" w:cs="Arial" w:eastAsia="Arial" w:hAnsi="Arial"/>
          <w:color w:val="3D4659"/>
          <w:sz w:val="22"/>
          <w:szCs w:val="22"/>
        </w:rPr>
        <w:t xml:space="preserve">— For Competitive/Good bands only. Frames the strength as an asset to capitalize on rather than just a score to maintain.</w:t>
      </w:r>
    </w:p>
    <w:p>
      <w:pPr>
        <w:spacing w:after="120"/>
      </w:pPr>
    </w:p>
    <w:p>
      <w:pPr>
        <w:pStyle w:val="Heading2"/>
      </w:pPr>
      <w:r>
        <w:t xml:space="preserve">Per Data Point (Required)</w:t>
      </w:r>
    </w:p>
    <w:p>
      <w:pPr>
        <w:pStyle w:val="ListParagraph"/>
        <w:numPr>
          <w:ilvl w:val="0"/>
          <w:numId w:val="2"/>
        </w:numPr>
        <w:spacing w:after="100"/>
      </w:pPr>
      <w:r>
        <w:rPr>
          <w:rFonts w:ascii="Arial" w:cs="Arial" w:eastAsia="Arial" w:hAnsi="Arial"/>
          <w:b/>
          <w:bCs/>
          <w:color w:val="0E3A4D"/>
          <w:sz w:val="22"/>
          <w:szCs w:val="22"/>
        </w:rPr>
        <w:t xml:space="preserve">Description </w:t>
      </w:r>
      <w:r>
        <w:rPr>
          <w:rFonts w:ascii="Arial" w:cs="Arial" w:eastAsia="Arial" w:hAnsi="Arial"/>
          <w:color w:val="3D4659"/>
          <w:sz w:val="22"/>
          <w:szCs w:val="22"/>
        </w:rPr>
        <w:t xml:space="preserve">— 1 sentence explaining what this data point measures in advisor-centric language. No internal terminology.</w:t>
      </w:r>
    </w:p>
    <w:p>
      <w:pPr>
        <w:pStyle w:val="ListParagraph"/>
        <w:numPr>
          <w:ilvl w:val="0"/>
          <w:numId w:val="2"/>
        </w:numPr>
        <w:spacing w:after="100"/>
      </w:pPr>
      <w:r>
        <w:rPr>
          <w:rFonts w:ascii="Arial" w:cs="Arial" w:eastAsia="Arial" w:hAnsi="Arial"/>
          <w:b/>
          <w:bCs/>
          <w:color w:val="0E3A4D"/>
          <w:sz w:val="22"/>
          <w:szCs w:val="22"/>
        </w:rPr>
        <w:t xml:space="preserve">Score context </w:t>
      </w:r>
      <w:r>
        <w:rPr>
          <w:rFonts w:ascii="Arial" w:cs="Arial" w:eastAsia="Arial" w:hAnsi="Arial"/>
          <w:color w:val="3D4659"/>
          <w:sz w:val="22"/>
          <w:szCs w:val="22"/>
        </w:rPr>
        <w:t xml:space="preserve">— Average score and top-5% score for gap analysis display.</w:t>
      </w:r>
    </w:p>
    <w:p>
      <w:pPr>
        <w:spacing w:after="120"/>
      </w:pPr>
    </w:p>
    <w:p>
      <w:pPr>
        <w:pStyle w:val="Heading2"/>
      </w:pPr>
      <w:r>
        <w:t xml:space="preserve">Per Hub Verdict (Required)</w:t>
      </w:r>
    </w:p>
    <w:p>
      <w:pPr>
        <w:pStyle w:val="ListParagraph"/>
        <w:numPr>
          <w:ilvl w:val="0"/>
          <w:numId w:val="2"/>
        </w:numPr>
        <w:spacing w:after="100"/>
      </w:pPr>
      <w:r>
        <w:rPr>
          <w:rFonts w:ascii="Arial" w:cs="Arial" w:eastAsia="Arial" w:hAnsi="Arial"/>
          <w:b/>
          <w:bCs/>
          <w:color w:val="0E3A4D"/>
          <w:sz w:val="22"/>
          <w:szCs w:val="22"/>
        </w:rPr>
        <w:t xml:space="preserve">Overall Diagnostic Narrative </w:t>
      </w:r>
      <w:r>
        <w:rPr>
          <w:rFonts w:ascii="Arial" w:cs="Arial" w:eastAsia="Arial" w:hAnsi="Arial"/>
          <w:color w:val="3D4659"/>
          <w:sz w:val="22"/>
          <w:szCs w:val="22"/>
        </w:rPr>
        <w:t xml:space="preserve">— Synthesizes the full assessment picture into 2–3 sentences. Must balance validation with direction. Band-adaptive across the overall score.</w:t>
      </w:r>
    </w:p>
    <w:p>
      <w:pPr>
        <w:pStyle w:val="ListParagraph"/>
        <w:numPr>
          <w:ilvl w:val="0"/>
          <w:numId w:val="2"/>
        </w:numPr>
        <w:spacing w:after="100"/>
      </w:pPr>
      <w:r>
        <w:rPr>
          <w:rFonts w:ascii="Arial" w:cs="Arial" w:eastAsia="Arial" w:hAnsi="Arial"/>
          <w:b/>
          <w:bCs/>
          <w:color w:val="0E3A4D"/>
          <w:sz w:val="22"/>
          <w:szCs w:val="22"/>
        </w:rPr>
        <w:t xml:space="preserve">Focus Recommendation </w:t>
      </w:r>
      <w:r>
        <w:rPr>
          <w:rFonts w:ascii="Arial" w:cs="Arial" w:eastAsia="Arial" w:hAnsi="Arial"/>
          <w:color w:val="3D4659"/>
          <w:sz w:val="22"/>
          <w:szCs w:val="22"/>
        </w:rPr>
        <w:t xml:space="preserve">— Identifies the single highest-impact area to address. Must connect to a specific module with a clear reason why.</w:t>
      </w:r>
    </w:p>
    <w:p>
      <w:r>
        <w:br w:type="page"/>
      </w:r>
    </w:p>
    <w:p>
      <w:pPr>
        <w:pStyle w:val="Heading1"/>
      </w:pPr>
      <w:r>
        <w:t xml:space="preserve">Design Implementation Specifications</w:t>
      </w:r>
    </w:p>
    <w:p>
      <w:pPr>
        <w:spacing w:after="160"/>
      </w:pPr>
      <w:r>
        <w:rPr>
          <w:rFonts w:ascii="Arial" w:cs="Arial" w:eastAsia="Arial" w:hAnsi="Arial"/>
          <w:color w:val="3D4659"/>
          <w:sz w:val="22"/>
          <w:szCs w:val="22"/>
        </w:rPr>
        <w:t xml:space="preserve">Each treatment type has a defined visual container that remains consistent across the platform. This ensures advisors develop pattern recognition — they learn to associate gold panels with client voice, green panels with benchmarks, and so on.</w:t>
      </w:r>
    </w:p>
    <w:p>
      <w:pPr>
        <w:spacing w:after="80"/>
      </w:pPr>
    </w:p>
    <w:p>
      <w:pPr>
        <w:pStyle w:val="Heading2"/>
      </w:pPr>
      <w:r>
        <w:t xml:space="preserve">Observational Evidence Container</w:t>
      </w:r>
    </w:p>
    <w:p>
      <w:pPr>
        <w:spacing w:after="160"/>
      </w:pPr>
      <w:r>
        <w:rPr>
          <w:rFonts w:ascii="Arial" w:cs="Arial" w:eastAsia="Arial" w:hAnsi="Arial"/>
          <w:color w:val="3D4659"/>
          <w:sz w:val="22"/>
          <w:szCs w:val="22"/>
        </w:rPr>
        <w:t xml:space="preserve">Background: Neutral panel (#FAFBFD). Border: 1px solid divider. Label: “WHAT WE OBSERVED” with eye icon. Typography: Source Serif 4, 13.5px, italic, dark heading color. This is the most distinctive container — advisors should immediately recognize observational content.</w:t>
      </w:r>
    </w:p>
    <w:p>
      <w:pPr>
        <w:pStyle w:val="Heading2"/>
      </w:pPr>
      <w:r>
        <w:t xml:space="preserve">Client Perspective Container</w:t>
      </w:r>
    </w:p>
    <w:p>
      <w:pPr>
        <w:spacing w:after="160"/>
      </w:pPr>
      <w:r>
        <w:rPr>
          <w:rFonts w:ascii="Arial" w:cs="Arial" w:eastAsia="Arial" w:hAnsi="Arial"/>
          <w:color w:val="3D4659"/>
          <w:sz w:val="22"/>
          <w:szCs w:val="22"/>
        </w:rPr>
        <w:t xml:space="preserve">Background: Gold warm (#FBF6ED). Border: 1px solid gold at 12% opacity. Label: “CLIENT PERSPECTIVE” with speech bubble icon. Typography: Source Serif 4, 13.5px, italic. Attribution below in sans-serif. In module cards, this appears as a compact gold strip.</w:t>
      </w:r>
    </w:p>
    <w:p>
      <w:pPr>
        <w:pStyle w:val="Heading2"/>
      </w:pPr>
      <w:r>
        <w:t xml:space="preserve">Behavioral Benchmark Container</w:t>
      </w:r>
    </w:p>
    <w:p>
      <w:pPr>
        <w:spacing w:after="160"/>
      </w:pPr>
      <w:r>
        <w:rPr>
          <w:rFonts w:ascii="Arial" w:cs="Arial" w:eastAsia="Arial" w:hAnsi="Arial"/>
          <w:color w:val="3D4659"/>
          <w:sz w:val="22"/>
          <w:szCs w:val="22"/>
        </w:rPr>
        <w:t xml:space="preserve">Background: Edge green (#EDFAF2). Label: “WHAT TOP ADVISORS DO DIFFERENTLY” with chart icon. Typography: DM Sans, 13px. Key statistics in bold green. This container answers the question “what does good look like?”</w:t>
      </w:r>
    </w:p>
    <w:p>
      <w:pPr>
        <w:pStyle w:val="Heading2"/>
      </w:pPr>
      <w:r>
        <w:t xml:space="preserve">Diagnostic Narrative Container</w:t>
      </w:r>
    </w:p>
    <w:p>
      <w:pPr>
        <w:spacing w:after="160"/>
      </w:pPr>
      <w:r>
        <w:rPr>
          <w:rFonts w:ascii="Arial" w:cs="Arial" w:eastAsia="Arial" w:hAnsi="Arial"/>
          <w:color w:val="3D4659"/>
          <w:sz w:val="22"/>
          <w:szCs w:val="22"/>
        </w:rPr>
        <w:t xml:space="preserve">Background: Neutral panel. Left border: 2–3px accent color. Typography: DM Sans, 12.5px. In the hero, this uses Source Serif 4 at 15.5px italic for greater editorial weight. The left border creates immediate visual association with intelligence commentary.</w:t>
      </w:r>
    </w:p>
    <w:p>
      <w:pPr>
        <w:pStyle w:val="Heading2"/>
      </w:pPr>
      <w:r>
        <w:t xml:space="preserve">Recommendation Container</w:t>
      </w:r>
    </w:p>
    <w:p>
      <w:pPr>
        <w:spacing w:after="160"/>
      </w:pPr>
      <w:r>
        <w:rPr>
          <w:rFonts w:ascii="Arial" w:cs="Arial" w:eastAsia="Arial" w:hAnsi="Arial"/>
          <w:color w:val="3D4659"/>
          <w:sz w:val="22"/>
          <w:szCs w:val="22"/>
        </w:rPr>
        <w:t xml:space="preserve">Background: Accent light (#EBF4F8). Icon: Compass or focus indicator. Typography: DM Sans, 13px. “Where to focus:” in bold. This container always feels forward-looking and action-oriented.</w:t>
      </w:r>
    </w:p>
    <w:p>
      <w:pPr>
        <w:spacing w:after="200"/>
      </w:pPr>
    </w:p>
    <w:p>
      <w:pPr>
        <w:pBdr>
          <w:bottom w:val="single" w:color="1B5E7B" w:sz="6" w:space="1"/>
        </w:pBdr>
        <w:spacing w:before="200" w:after="200"/>
      </w:pPr>
    </w:p>
    <w:p>
      <w:pPr>
        <w:pStyle w:val="Heading2"/>
      </w:pPr>
      <w:r>
        <w:t xml:space="preserve">Revision History</w:t>
      </w:r>
    </w:p>
    <w:p>
      <w:pPr>
        <w:spacing w:after="160"/>
      </w:pPr>
      <w:r>
        <w:rPr>
          <w:rFonts w:ascii="Arial" w:cs="Arial" w:eastAsia="Arial" w:hAnsi="Arial"/>
          <w:b/>
          <w:bCs/>
          <w:color w:val="0E3A4D"/>
          <w:sz w:val="22"/>
          <w:szCs w:val="22"/>
        </w:rPr>
        <w:t xml:space="preserve">v1.0 — February 17, 2026: </w:t>
      </w:r>
      <w:r>
        <w:rPr>
          <w:rFonts w:ascii="Arial" w:cs="Arial" w:eastAsia="Arial" w:hAnsi="Arial"/>
          <w:color w:val="3D4659"/>
          <w:sz w:val="22"/>
          <w:szCs w:val="22"/>
        </w:rPr>
        <w:t xml:space="preserve">Initial framework established. Defined five treatment types, five hierarchy levels, treatment application matrix, emotional arc design, content authoring requirements, and design implementation specifications. Derived from hub prototype V5 session.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0E3A4D"/>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1B5E7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E3A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2026-02-17T22:17:11.461Z</dcterms:created>
  <dcterms:modified xsi:type="dcterms:W3CDTF">2026-02-17T22:17:11.462Z</dcterms:modified>
</cp:coreProperties>
</file>

<file path=docProps/custom.xml><?xml version="1.0" encoding="utf-8"?>
<Properties xmlns="http://schemas.openxmlformats.org/officeDocument/2006/custom-properties" xmlns:vt="http://schemas.openxmlformats.org/officeDocument/2006/docPropsVTypes"/>
</file>