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120"/>
        <w:jc w:val="center"/>
      </w:pPr>
      <w:r>
        <w:rPr>
          <w:rFonts w:ascii="Arial" w:cs="Arial" w:eastAsia="Arial" w:hAnsi="Arial"/>
          <w:b/>
          <w:bCs/>
          <w:color w:val="1B2A4A"/>
          <w:sz w:val="48"/>
          <w:szCs w:val="48"/>
        </w:rPr>
        <w:t xml:space="preserve">POINT93</w:t>
      </w:r>
    </w:p>
    <w:p>
      <w:pPr>
        <w:spacing w:after="60"/>
        <w:jc w:val="center"/>
      </w:pPr>
      <w:r>
        <w:rPr>
          <w:rFonts w:ascii="Arial" w:cs="Arial" w:eastAsia="Arial" w:hAnsi="Arial"/>
          <w:color w:val="1B2A4A"/>
          <w:sz w:val="36"/>
          <w:szCs w:val="36"/>
        </w:rPr>
        <w:t xml:space="preserve">Module Results Page</w:t>
      </w:r>
    </w:p>
    <w:p>
      <w:pPr>
        <w:spacing w:after="200"/>
        <w:jc w:val="center"/>
      </w:pPr>
      <w:r>
        <w:rPr>
          <w:rFonts w:ascii="Arial" w:cs="Arial" w:eastAsia="Arial" w:hAnsi="Arial"/>
          <w:color w:val="2E8B8B"/>
          <w:sz w:val="28"/>
          <w:szCs w:val="28"/>
        </w:rPr>
        <w:t xml:space="preserve">Three-Speed Reading Model Specification</w:t>
      </w:r>
    </w:p>
    <w:p>
      <w:pPr>
        <w:pBdr>
          <w:bottom w:val="single" w:color="1B2A4A" w:sz="6" w:space="1"/>
        </w:pBdr>
        <w:spacing w:before="200" w:after="200"/>
      </w:pPr>
    </w:p>
    <w:p>
      <w:pPr>
        <w:spacing w:before="200" w:after="60"/>
        <w:jc w:val="center"/>
      </w:pPr>
      <w:r>
        <w:rPr>
          <w:rFonts w:ascii="Arial" w:cs="Arial" w:eastAsia="Arial" w:hAnsi="Arial"/>
          <w:color w:val="555555"/>
          <w:sz w:val="22"/>
          <w:szCs w:val="22"/>
        </w:rPr>
        <w:t xml:space="preserve">Session 6 — UX Architecture Phase 3</w:t>
      </w:r>
    </w:p>
    <w:p>
      <w:pPr>
        <w:spacing w:after="60"/>
        <w:jc w:val="center"/>
      </w:pPr>
      <w:r>
        <w:rPr>
          <w:rFonts w:ascii="Arial" w:cs="Arial" w:eastAsia="Arial" w:hAnsi="Arial"/>
          <w:color w:val="555555"/>
          <w:sz w:val="22"/>
          <w:szCs w:val="22"/>
        </w:rPr>
        <w:t xml:space="preserve">February 2026</w:t>
      </w:r>
    </w:p>
    <w:p>
      <w:pPr>
        <w:spacing w:after="400"/>
        <w:jc w:val="center"/>
      </w:pPr>
      <w:r>
        <w:rPr>
          <w:rFonts w:ascii="Arial" w:cs="Arial" w:eastAsia="Arial" w:hAnsi="Arial"/>
          <w:i/>
          <w:iCs/>
          <w:color w:val="C9963B"/>
          <w:sz w:val="18"/>
          <w:szCs w:val="18"/>
        </w:rPr>
        <w:t xml:space="preserve">Locked Decisions: Option A (End-Peak) • Split Competitive Position • Three Michela Elements</w:t>
      </w:r>
    </w:p>
    <w:p>
      <w:r>
        <w:br w:type="page"/>
      </w:r>
    </w:p>
    <w:p>
      <w:pPr>
        <w:pStyle w:val="Heading1"/>
      </w:pPr>
      <w:r>
        <w:t xml:space="preserve">1. Three-Speed Reading Model</w:t>
      </w:r>
    </w:p>
    <w:p>
      <w:pPr>
        <w:spacing w:before="60" w:after="60"/>
      </w:pPr>
      <w:r>
        <w:rPr>
          <w:rFonts w:ascii="Arial" w:cs="Arial" w:eastAsia="Arial" w:hAnsi="Arial"/>
          <w:b w:val="false"/>
          <w:bCs w:val="false"/>
          <w:i w:val="false"/>
          <w:iCs w:val="false"/>
          <w:color w:val="555555"/>
          <w:sz w:val="20"/>
          <w:szCs w:val="20"/>
        </w:rPr>
        <w:t xml:space="preserve">Every component on the Module Results page is designed to serve three distinct reading behaviors. The model ensures advisors get value at whatever depth they choose, from a five-second glance to a thirty-minute coaching preparation session.</w:t>
      </w:r>
    </w:p>
    <w:p>
      <w:pPr>
        <w:spacing w:before="80" w:after="80"/>
      </w:pPr>
    </w:p>
    <w:p>
      <w:pPr>
        <w:spacing w:before="240" w:after="80"/>
      </w:pPr>
      <w:r>
        <w:rPr>
          <w:rFonts w:ascii="Arial" w:cs="Arial" w:eastAsia="Arial" w:hAnsi="Arial"/>
          <w:b/>
          <w:bCs/>
          <w:color w:val="333333"/>
          <w:sz w:val="24"/>
          <w:szCs w:val="24"/>
        </w:rPr>
        <w:t xml:space="preserve">The Three Speeds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Speed</w:t>
            </w:r>
          </w:p>
        </w:tc>
        <w:tc>
          <w:tcPr>
            <w:tcW w:type="dxa" w:w="2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Behavior</w:t>
            </w:r>
          </w:p>
        </w:tc>
        <w:tc>
          <w:tcPr>
            <w:tcW w:type="dxa" w:w="4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Advisor Gets</w:t>
            </w:r>
          </w:p>
        </w:tc>
      </w:tr>
      <w:tr>
        <w:tc>
          <w:tcPr>
            <w:tcW w:type="dxa" w:w="22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color w:val="1B2A4A"/>
                <w:sz w:val="18"/>
                <w:szCs w:val="18"/>
              </w:rPr>
              <w:t xml:space="preserve">10-Second Scan</w:t>
            </w:r>
          </w:p>
        </w:tc>
        <w:tc>
          <w:tcPr>
            <w:tcW w:type="dxa" w:w="2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color w:val="555555"/>
                <w:sz w:val="18"/>
                <w:szCs w:val="18"/>
              </w:rPr>
              <w:t xml:space="preserve">Glance at first viewport. No scrolling. No clicking.</w:t>
            </w:r>
          </w:p>
        </w:tc>
        <w:tc>
          <w:tcPr>
            <w:tcW w:type="dxa" w:w="43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color w:val="555555"/>
                <w:sz w:val="18"/>
                <w:szCs w:val="18"/>
              </w:rPr>
              <w:t xml:space="preserve">Score, tier, one-sentence verdict. Knows: "How am I doing?" and "Is there more below worth seeing?"</w:t>
            </w:r>
          </w:p>
        </w:tc>
      </w:tr>
      <w:tr>
        <w:tc>
          <w:tcPr>
            <w:tcW w:type="dxa" w:w="2200"/>
            <w:tcBorders>
              <w:top w:val="single" w:color="DDDDDD" w:sz="1"/>
              <w:left w:val="single" w:color="DDDDDD" w:sz="1"/>
              <w:bottom w:val="single" w:color="DDDDDD" w:sz="1"/>
              <w:right w:val="single" w:color="DDDDDD" w:sz="1"/>
            </w:tcBorders>
            <w:shd w:fill="F0F7F7" w:val="clear"/>
            <w:tcMar>
              <w:top w:type="dxa" w:w="80"/>
              <w:left w:type="dxa" w:w="120"/>
              <w:bottom w:type="dxa" w:w="80"/>
              <w:right w:type="dxa" w:w="120"/>
            </w:tcMar>
          </w:tcPr>
          <w:p>
            <w:r>
              <w:rPr>
                <w:rFonts w:ascii="Arial" w:cs="Arial" w:eastAsia="Arial" w:hAnsi="Arial"/>
                <w:b/>
                <w:bCs/>
                <w:color w:val="2E8B8B"/>
                <w:sz w:val="18"/>
                <w:szCs w:val="18"/>
              </w:rPr>
              <w:t xml:space="preserve">2-Minute Read</w:t>
            </w:r>
          </w:p>
        </w:tc>
        <w:tc>
          <w:tcPr>
            <w:tcW w:type="dxa" w:w="2800"/>
            <w:tcBorders>
              <w:top w:val="single" w:color="DDDDDD" w:sz="1"/>
              <w:left w:val="single" w:color="DDDDDD" w:sz="1"/>
              <w:bottom w:val="single" w:color="DDDDDD" w:sz="1"/>
              <w:right w:val="single" w:color="DDDDDD" w:sz="1"/>
            </w:tcBorders>
            <w:shd w:fill="F0F7F7" w:val="clear"/>
            <w:tcMar>
              <w:top w:type="dxa" w:w="80"/>
              <w:left w:type="dxa" w:w="120"/>
              <w:bottom w:type="dxa" w:w="80"/>
              <w:right w:type="dxa" w:w="120"/>
            </w:tcMar>
          </w:tcPr>
          <w:p>
            <w:r>
              <w:rPr>
                <w:rFonts w:ascii="Arial" w:cs="Arial" w:eastAsia="Arial" w:hAnsi="Arial"/>
                <w:color w:val="555555"/>
                <w:sz w:val="18"/>
                <w:szCs w:val="18"/>
              </w:rPr>
              <w:t xml:space="preserve">Scrolls full page. Reads visible text. Does not click or expand.</w:t>
            </w:r>
          </w:p>
        </w:tc>
        <w:tc>
          <w:tcPr>
            <w:tcW w:type="dxa" w:w="4360"/>
            <w:tcBorders>
              <w:top w:val="single" w:color="DDDDDD" w:sz="1"/>
              <w:left w:val="single" w:color="DDDDDD" w:sz="1"/>
              <w:bottom w:val="single" w:color="DDDDDD" w:sz="1"/>
              <w:right w:val="single" w:color="DDDDDD" w:sz="1"/>
            </w:tcBorders>
            <w:shd w:fill="F0F7F7" w:val="clear"/>
            <w:tcMar>
              <w:top w:type="dxa" w:w="80"/>
              <w:left w:type="dxa" w:w="120"/>
              <w:bottom w:type="dxa" w:w="80"/>
              <w:right w:type="dxa" w:w="120"/>
            </w:tcMar>
          </w:tcPr>
          <w:p>
            <w:r>
              <w:rPr>
                <w:rFonts w:ascii="Arial" w:cs="Arial" w:eastAsia="Arial" w:hAnsi="Arial"/>
                <w:color w:val="555555"/>
                <w:sz w:val="18"/>
                <w:szCs w:val="18"/>
              </w:rPr>
              <w:t xml:space="preserve">Assessment summary + Moenio cheat sheet. Knows: "What are my strengths/gaps?" and "What do top performers do differently?"</w:t>
            </w:r>
          </w:p>
        </w:tc>
      </w:tr>
      <w:tr>
        <w:tc>
          <w:tcPr>
            <w:tcW w:type="dxa" w:w="22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b/>
                <w:bCs/>
                <w:color w:val="C9963B"/>
                <w:sz w:val="18"/>
                <w:szCs w:val="18"/>
              </w:rPr>
              <w:t xml:space="preserve">Deep Dive</w:t>
            </w:r>
          </w:p>
        </w:tc>
        <w:tc>
          <w:tcPr>
            <w:tcW w:type="dxa" w:w="2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color w:val="555555"/>
                <w:sz w:val="18"/>
                <w:szCs w:val="18"/>
              </w:rPr>
              <w:t xml:space="preserve">Clicks, expands, explores. Spends 10–30 minutes. Preparing for coaching or deep self-assessment.</w:t>
            </w:r>
          </w:p>
        </w:tc>
        <w:tc>
          <w:tcPr>
            <w:tcW w:type="dxa" w:w="43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color w:val="555555"/>
                <w:sz w:val="18"/>
                <w:szCs w:val="18"/>
              </w:rPr>
              <w:t xml:space="preserve">Complete analysis. Every data point, every comparison, every action item. Knows: "Exactly what to change and why."</w:t>
            </w:r>
          </w:p>
        </w:tc>
      </w:tr>
    </w:tbl>
    <w:p>
      <w:pPr>
        <w:spacing w:before="120" w:after="120"/>
      </w:pPr>
    </w:p>
    <w:p>
      <w:pPr>
        <w:spacing w:before="240" w:after="80"/>
      </w:pPr>
      <w:r>
        <w:rPr>
          <w:rFonts w:ascii="Arial" w:cs="Arial" w:eastAsia="Arial" w:hAnsi="Arial"/>
          <w:b/>
          <w:bCs/>
          <w:color w:val="333333"/>
          <w:sz w:val="24"/>
          <w:szCs w:val="24"/>
        </w:rPr>
        <w:t xml:space="preserve">Governing Principles</w:t>
      </w:r>
    </w:p>
    <w:p>
      <w:pPr>
        <w:spacing w:before="40" w:after="40"/>
      </w:pPr>
    </w:p>
    <w:p>
      <w:pPr>
        <w:spacing w:before="60" w:after="60"/>
      </w:pPr>
      <w:r>
        <w:rPr>
          <w:rFonts w:ascii="Arial" w:cs="Arial" w:eastAsia="Arial" w:hAnsi="Arial"/>
          <w:b w:val="false"/>
          <w:bCs w:val="false"/>
          <w:i w:val="false"/>
          <w:iCs w:val="false"/>
          <w:color w:val="555555"/>
          <w:sz w:val="20"/>
          <w:szCs w:val="20"/>
        </w:rPr>
        <w:t xml:space="preserve">Progressive disclosure governs what appears at each speed. Research from NNGroup and Fresh Consulting establishes that dashboards serving non-analyst users must begin with high-level snapshots and make deeper data available on demand. The key insight: users assume that if content is present, it must be important. Showing everything simultaneously creates cognitive overload and decision paralysis.</w:t>
      </w:r>
    </w:p>
    <w:p>
      <w:pPr>
        <w:spacing w:before="40" w:after="40"/>
      </w:pPr>
    </w:p>
    <w:p>
      <w:pPr>
        <w:spacing w:before="60" w:after="60"/>
      </w:pPr>
      <w:r>
        <w:rPr>
          <w:rFonts w:ascii="Arial" w:cs="Arial" w:eastAsia="Arial" w:hAnsi="Arial"/>
          <w:b w:val="false"/>
          <w:bCs w:val="false"/>
          <w:i w:val="false"/>
          <w:iCs w:val="false"/>
          <w:color w:val="555555"/>
          <w:sz w:val="20"/>
          <w:szCs w:val="20"/>
        </w:rPr>
        <w:t xml:space="preserve">Three locked research decisions shape this specification:</w:t>
      </w:r>
    </w:p>
    <w:p>
      <w:pPr>
        <w:spacing w:before="40" w:after="40"/>
      </w:pPr>
    </w:p>
    <w:p>
      <w:pPr>
        <w:pStyle w:val="ListParagraph"/>
        <w:numPr>
          <w:ilvl w:val="0"/>
          <w:numId w:val="2"/>
        </w:numPr>
        <w:spacing w:before="40" w:after="40"/>
      </w:pPr>
      <w:r>
        <w:rPr>
          <w:rFonts w:ascii="Arial" w:cs="Arial" w:eastAsia="Arial" w:hAnsi="Arial"/>
          <w:b/>
          <w:bCs/>
          <w:color w:val="333333"/>
          <w:sz w:val="20"/>
          <w:szCs w:val="20"/>
        </w:rPr>
        <w:t xml:space="preserve">Data Point Scores: collapsed by default. </w:t>
      </w:r>
      <w:r>
        <w:rPr>
          <w:rFonts w:ascii="Arial" w:cs="Arial" w:eastAsia="Arial" w:hAnsi="Arial"/>
          <w:color w:val="555555"/>
          <w:sz w:val="20"/>
          <w:szCs w:val="20"/>
        </w:rPr>
        <w:t xml:space="preserve">Dense comparison data (11 bars) hidden behind descriptive header. Prevents the "data eyeball attack" that destabilizes non-analyst users. Click-to-expand earns its space.</w:t>
      </w:r>
    </w:p>
    <w:p>
      <w:pPr>
        <w:pStyle w:val="ListParagraph"/>
        <w:numPr>
          <w:ilvl w:val="0"/>
          <w:numId w:val="2"/>
        </w:numPr>
        <w:spacing w:before="40" w:after="40"/>
      </w:pPr>
      <w:r>
        <w:rPr>
          <w:rFonts w:ascii="Arial" w:cs="Arial" w:eastAsia="Arial" w:hAnsi="Arial"/>
          <w:b/>
          <w:bCs/>
          <w:color w:val="333333"/>
          <w:sz w:val="20"/>
          <w:szCs w:val="20"/>
        </w:rPr>
        <w:t xml:space="preserve">Insight Areas: dot row only, no auto-expand. </w:t>
      </w:r>
      <w:r>
        <w:rPr>
          <w:rFonts w:ascii="Arial" w:cs="Arial" w:eastAsia="Arial" w:hAnsi="Arial"/>
          <w:color w:val="555555"/>
          <w:sz w:val="20"/>
          <w:szCs w:val="20"/>
        </w:rPr>
        <w:t xml:space="preserve">NNGroup found auto-expanding first accordions prevents users from getting the page overview. The dot indicator row IS the 2-minute value — instant visual landscape. Advisor chooses which dot to explore.</w:t>
      </w:r>
    </w:p>
    <w:p>
      <w:pPr>
        <w:pStyle w:val="ListParagraph"/>
        <w:numPr>
          <w:ilvl w:val="0"/>
          <w:numId w:val="2"/>
        </w:numPr>
        <w:spacing w:before="40" w:after="40"/>
      </w:pPr>
      <w:r>
        <w:rPr>
          <w:rFonts w:ascii="Arial" w:cs="Arial" w:eastAsia="Arial" w:hAnsi="Arial"/>
          <w:b/>
          <w:bCs/>
          <w:color w:val="333333"/>
          <w:sz w:val="20"/>
          <w:szCs w:val="20"/>
        </w:rPr>
        <w:t xml:space="preserve">Moenio scroll signal: yes, through copy, not UI chrome. </w:t>
      </w:r>
      <w:r>
        <w:rPr>
          <w:rFonts w:ascii="Arial" w:cs="Arial" w:eastAsia="Arial" w:hAnsi="Arial"/>
          <w:color w:val="555555"/>
          <w:sz w:val="20"/>
          <w:szCs w:val="20"/>
        </w:rPr>
        <w:t xml:space="preserve">NNGroup’s Fold Manifesto says designs shouldn’t need arrows to encourage scrolling — content should build the story. The Overview panel’s diagnostic verdict references observational intelligence to create information-foraging motivation.</w:t>
      </w:r>
    </w:p>
    <w:p>
      <w:r>
        <w:br w:type="page"/>
      </w:r>
    </w:p>
    <w:p>
      <w:pPr>
        <w:pStyle w:val="Heading1"/>
      </w:pPr>
      <w:r>
        <w:t xml:space="preserve">2. Complete Page Sequence</w:t>
      </w:r>
    </w:p>
    <w:p>
      <w:pPr>
        <w:spacing w:before="60" w:after="60"/>
      </w:pPr>
      <w:r>
        <w:rPr>
          <w:rFonts w:ascii="Arial" w:cs="Arial" w:eastAsia="Arial" w:hAnsi="Arial"/>
          <w:b w:val="false"/>
          <w:bCs w:val="false"/>
          <w:i w:val="false"/>
          <w:iCs w:val="false"/>
          <w:color w:val="555555"/>
          <w:sz w:val="20"/>
          <w:szCs w:val="20"/>
        </w:rPr>
        <w:t xml:space="preserve">Option A (End-Peak) structure. The page builds from orientation through assessment data, crosses the Moenio threshold, and ends with the platform’s exclusive intelligence — the peak-end moment.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Order</w:t>
            </w:r>
          </w:p>
        </w:tc>
        <w:tc>
          <w:tcPr>
            <w:tcW w:type="dxa" w:w="3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4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 at Page Level</w:t>
            </w:r>
          </w:p>
        </w:tc>
      </w:tr>
      <w:tr>
        <w:tc>
          <w:tcPr>
            <w:tcW w:type="dxa" w:w="12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w:t>
            </w:r>
          </w:p>
        </w:tc>
        <w:tc>
          <w:tcPr>
            <w:tcW w:type="dxa" w:w="3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color w:val="333333"/>
                <w:sz w:val="18"/>
                <w:szCs w:val="18"/>
              </w:rPr>
              <w:t xml:space="preserve">Page Header</w:t>
            </w:r>
          </w:p>
        </w:tc>
        <w:tc>
          <w:tcPr>
            <w:tcW w:type="dxa" w:w="43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color w:val="555555"/>
                <w:sz w:val="18"/>
                <w:szCs w:val="18"/>
              </w:rPr>
              <w:t xml:space="preserve">Orient: what module, what outcome framed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Overview Panel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Anchor: primary score + diagnostic verdict</w:t>
            </w:r>
          </w:p>
        </w:tc>
      </w:tr>
      <w:tr>
        <w:tc>
          <w:tcPr>
            <w:tcW w:type="dxa" w:w="12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3</w:t>
            </w:r>
          </w:p>
        </w:tc>
        <w:tc>
          <w:tcPr>
            <w:tcW w:type="dxa" w:w="3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color w:val="333333"/>
                <w:sz w:val="18"/>
                <w:szCs w:val="18"/>
              </w:rPr>
              <w:t xml:space="preserve">Percentile Ranking</w:t>
            </w:r>
          </w:p>
        </w:tc>
        <w:tc>
          <w:tcPr>
            <w:tcW w:type="dxa" w:w="43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color w:val="555555"/>
                <w:sz w:val="18"/>
                <w:szCs w:val="18"/>
              </w:rPr>
              <w:t xml:space="preserve">Contextualize: where you stand in the field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4</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Insight Areas (Dot Nav)</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Map: visual landscape of all areas at a glance</w:t>
            </w:r>
          </w:p>
        </w:tc>
      </w:tr>
      <w:tr>
        <w:tc>
          <w:tcPr>
            <w:tcW w:type="dxa" w:w="12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5</w:t>
            </w:r>
          </w:p>
        </w:tc>
        <w:tc>
          <w:tcPr>
            <w:tcW w:type="dxa" w:w="3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color w:val="333333"/>
                <w:sz w:val="18"/>
                <w:szCs w:val="18"/>
              </w:rPr>
              <w:t xml:space="preserve">Data Point Scores</w:t>
            </w:r>
          </w:p>
        </w:tc>
        <w:tc>
          <w:tcPr>
            <w:tcW w:type="dxa" w:w="43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color w:val="555555"/>
                <w:sz w:val="18"/>
                <w:szCs w:val="18"/>
              </w:rPr>
              <w:t xml:space="preserve">Detail: granular comparison data (collapsed)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6</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Competitive Position: Scores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Measure: your performance on key dimensions</w:t>
            </w:r>
          </w:p>
        </w:tc>
      </w:tr>
      <w:tr>
        <w:tc>
          <w:tcPr>
            <w:tcW w:type="dxa" w:w="120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800"/>
            <w:gridSpan w:val="1"/>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r>
              <w:rPr>
                <w:rFonts w:ascii="Arial" w:cs="Arial" w:eastAsia="Arial" w:hAnsi="Arial"/>
                <w:b/>
                <w:bCs/>
                <w:color w:val="FFFFFF"/>
                <w:sz w:val="18"/>
                <w:szCs w:val="18"/>
              </w:rPr>
              <w:t xml:space="preserve">MOENIO THRESHOLD</w:t>
            </w:r>
          </w:p>
        </w:tc>
        <w:tc>
          <w:tcPr>
            <w:tcW w:type="dxa" w:w="436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r>
              <w:rPr>
                <w:rFonts w:ascii="Arial" w:cs="Arial" w:eastAsia="Arial" w:hAnsi="Arial"/>
                <w:color w:val="FFFFFF"/>
                <w:sz w:val="18"/>
                <w:szCs w:val="18"/>
              </w:rPr>
              <w:t xml:space="preserve">Shift: visual, tonal, and analytical voice changes</w:t>
            </w:r>
          </w:p>
        </w:tc>
      </w:tr>
      <w:tr>
        <w:tc>
          <w:tcPr>
            <w:tcW w:type="dxa" w:w="12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bCs/>
                <w:color w:val="C9963B"/>
                <w:sz w:val="18"/>
                <w:szCs w:val="18"/>
              </w:rPr>
              <w:t xml:space="preserve">7</w:t>
            </w:r>
          </w:p>
        </w:tc>
        <w:tc>
          <w:tcPr>
            <w:tcW w:type="dxa" w:w="3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b/>
                <w:bCs/>
                <w:color w:val="333333"/>
                <w:sz w:val="18"/>
                <w:szCs w:val="18"/>
              </w:rPr>
              <w:t xml:space="preserve">Competitive Position: Reframed</w:t>
            </w:r>
          </w:p>
        </w:tc>
        <w:tc>
          <w:tcPr>
            <w:tcW w:type="dxa" w:w="43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color w:val="555555"/>
                <w:sz w:val="18"/>
                <w:szCs w:val="18"/>
              </w:rPr>
              <w:t xml:space="preserve">Transform: same dimensions through behavioral lens</w:t>
            </w:r>
          </w:p>
        </w:tc>
      </w:tr>
      <w:tr>
        <w:tc>
          <w:tcPr>
            <w:tcW w:type="dxa" w:w="12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bCs/>
                <w:color w:val="C9963B"/>
                <w:sz w:val="18"/>
                <w:szCs w:val="18"/>
              </w:rPr>
              <w:t xml:space="preserve">8</w:t>
            </w:r>
          </w:p>
        </w:tc>
        <w:tc>
          <w:tcPr>
            <w:tcW w:type="dxa" w:w="3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b/>
                <w:bCs/>
                <w:color w:val="333333"/>
                <w:sz w:val="18"/>
                <w:szCs w:val="18"/>
              </w:rPr>
              <w:t xml:space="preserve">What Top 5% Do Differently</w:t>
            </w:r>
          </w:p>
        </w:tc>
        <w:tc>
          <w:tcPr>
            <w:tcW w:type="dxa" w:w="43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color w:val="555555"/>
                <w:sz w:val="18"/>
                <w:szCs w:val="18"/>
              </w:rPr>
              <w:t xml:space="preserve">Reveal: exclusive peer intelligence (expandable)</w:t>
            </w:r>
          </w:p>
        </w:tc>
      </w:tr>
      <w:tr>
        <w:tc>
          <w:tcPr>
            <w:tcW w:type="dxa" w:w="12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bCs/>
                <w:color w:val="C9963B"/>
                <w:sz w:val="18"/>
                <w:szCs w:val="18"/>
              </w:rPr>
              <w:t xml:space="preserve">9</w:t>
            </w:r>
          </w:p>
        </w:tc>
        <w:tc>
          <w:tcPr>
            <w:tcW w:type="dxa" w:w="3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b/>
                <w:bCs/>
                <w:color w:val="333333"/>
                <w:sz w:val="18"/>
                <w:szCs w:val="18"/>
              </w:rPr>
              <w:t xml:space="preserve">Improvement Roadmap</w:t>
            </w:r>
          </w:p>
        </w:tc>
        <w:tc>
          <w:tcPr>
            <w:tcW w:type="dxa" w:w="43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r>
              <w:rPr>
                <w:rFonts w:ascii="Arial" w:cs="Arial" w:eastAsia="Arial" w:hAnsi="Arial"/>
                <w:color w:val="555555"/>
                <w:sz w:val="18"/>
                <w:szCs w:val="18"/>
              </w:rPr>
              <w:t xml:space="preserve">Act: prioritized path forward with timelines</w:t>
            </w:r>
          </w:p>
        </w:tc>
      </w:tr>
    </w:tbl>
    <w:p>
      <w:r>
        <w:br w:type="page"/>
      </w:r>
    </w:p>
    <w:p>
      <w:pPr>
        <w:pStyle w:val="Heading1"/>
      </w:pPr>
      <w:r>
        <w:t xml:space="preserve">3. Component Specifications</w:t>
      </w:r>
    </w:p>
    <w:p>
      <w:pPr>
        <w:spacing w:before="60" w:after="60"/>
      </w:pPr>
      <w:r>
        <w:rPr>
          <w:rFonts w:ascii="Arial" w:cs="Arial" w:eastAsia="Arial" w:hAnsi="Arial"/>
          <w:b w:val="false"/>
          <w:bCs w:val="false"/>
          <w:i w:val="false"/>
          <w:iCs w:val="false"/>
          <w:color w:val="555555"/>
          <w:sz w:val="20"/>
          <w:szCs w:val="20"/>
        </w:rPr>
        <w:t xml:space="preserve">Each component is mapped across all three speeds. The left column (10-Second Scan) defines what’s visible without any interaction in the first viewport. The center column (2-Minute Read) defines what’s visible on a full scroll with no clicks. The right column (Deep Dive) defines what’s accessible through expansion, clicking, or interaction.</w:t>
      </w:r>
    </w:p>
    <w:p>
      <w:pPr>
        <w:spacing w:before="60" w:after="60"/>
      </w:pPr>
    </w:p>
    <w:p>
      <w:pPr>
        <w:pBdr>
          <w:left w:val="single" w:color="1B2A4A" w:sz="18" w:space="8"/>
        </w:pBdr>
        <w:shd w:fill="F8F9FB" w:val="clear"/>
        <w:spacing w:before="240" w:after="80"/>
      </w:pPr>
      <w:r>
        <w:rPr>
          <w:rFonts w:ascii="Arial" w:cs="Arial" w:eastAsia="Arial" w:hAnsi="Arial"/>
          <w:b/>
          <w:bCs/>
          <w:color w:val="1B2A4A"/>
          <w:sz w:val="24"/>
          <w:szCs w:val="24"/>
        </w:rPr>
        <w:t xml:space="preserve">  PART 1: YOUR ASSESSMENT</w:t>
      </w:r>
    </w:p>
    <w:p>
      <w:pPr>
        <w:spacing w:before="80" w:after="80"/>
      </w:pPr>
    </w:p>
    <w:p>
      <w:pPr>
        <w:pStyle w:val="Heading3"/>
      </w:pPr>
      <w:r>
        <w:t xml:space="preserve">1. Page Header</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"Win More Clients: Module 2 Results" / "Seasoned Expert or Unprepared for Volatility?"</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Fully visible. No interactive elements.</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Static. Always rendered identically at all three speeds.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Outcome-framed title</w:t>
            </w:r>
          </w:p>
          <w:p>
            <w:pPr>
              <w:spacing w:before="40" w:after="40"/>
            </w:pPr>
            <w:r>
              <w:rPr>
                <w:rFonts w:ascii="Arial" w:cs="Arial" w:eastAsia="Arial" w:hAnsi="Arial"/>
                <w:color w:val="555555"/>
                <w:sz w:val="18"/>
                <w:szCs w:val="18"/>
              </w:rPr>
              <w:t xml:space="preserve">Provocative subtitle</w:t>
            </w:r>
          </w:p>
          <w:p>
            <w:pPr>
              <w:spacing w:before="40" w:after="40"/>
            </w:pPr>
            <w:r>
              <w:rPr>
                <w:rFonts w:ascii="Arial" w:cs="Arial" w:eastAsia="Arial" w:hAnsi="Arial"/>
                <w:color w:val="555555"/>
                <w:sz w:val="18"/>
                <w:szCs w:val="18"/>
              </w:rPr>
              <w:t xml:space="preserve">Module status badge</w:t>
            </w:r>
          </w:p>
          <w:p>
            <w:pPr>
              <w:spacing w:before="40" w:after="40"/>
            </w:pPr>
            <w:r>
              <w:rPr>
                <w:rFonts w:ascii="Arial" w:cs="Arial" w:eastAsia="Arial" w:hAnsi="Arial"/>
                <w:color w:val="555555"/>
                <w:sz w:val="18"/>
                <w:szCs w:val="18"/>
              </w:rPr>
              <w:t xml:space="preserve">Breadcrumb navigation</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Same as 10-second scan</w:t>
            </w:r>
          </w:p>
          <w:p>
            <w:pPr>
              <w:spacing w:before="40" w:after="40"/>
            </w:pPr>
            <w:r>
              <w:rPr>
                <w:rFonts w:ascii="Arial" w:cs="Arial" w:eastAsia="Arial" w:hAnsi="Arial"/>
                <w:color w:val="555555"/>
                <w:sz w:val="18"/>
                <w:szCs w:val="18"/>
              </w:rPr>
              <w:t xml:space="preserve">(No additional content at this speed)</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Same as 10-second scan</w:t>
            </w:r>
          </w:p>
          <w:p>
            <w:pPr>
              <w:spacing w:before="40" w:after="40"/>
            </w:pPr>
            <w:r>
              <w:rPr>
                <w:rFonts w:ascii="Arial" w:cs="Arial" w:eastAsia="Arial" w:hAnsi="Arial"/>
                <w:color w:val="555555"/>
                <w:sz w:val="18"/>
                <w:szCs w:val="18"/>
              </w:rPr>
              <w:t xml:space="preserve">(No additional content at this speed)</w:t>
            </w:r>
          </w:p>
        </w:tc>
      </w:tr>
    </w:tbl>
    <w:p>
      <w:pPr>
        <w:spacing w:before="40" w:after="40"/>
      </w:pPr>
    </w:p>
    <w:p>
      <w:pPr>
        <w:spacing w:before="60" w:after="60"/>
      </w:pPr>
      <w:r>
        <w:rPr>
          <w:rFonts w:ascii="Arial" w:cs="Arial" w:eastAsia="Arial" w:hAnsi="Arial"/>
          <w:b/>
          <w:bCs/>
          <w:color w:val="333333"/>
          <w:sz w:val="20"/>
          <w:szCs w:val="20"/>
        </w:rPr>
        <w:t xml:space="preserve">Design note: </w:t>
      </w:r>
      <w:r>
        <w:rPr>
          <w:rFonts w:ascii="Arial" w:cs="Arial" w:eastAsia="Arial" w:hAnsi="Arial"/>
          <w:color w:val="555555"/>
          <w:sz w:val="20"/>
          <w:szCs w:val="20"/>
        </w:rPr>
        <w:t xml:space="preserve">Title must be outcome-framed per Michela’s existing approach ("Win More Clients" not "Module 2"). Subtitle creates tension that motivates scrolling. EDR copy layer adds Exposition context: what was measured and why it matters. This is the advisor’s first 2 seconds.</w:t>
      </w:r>
    </w:p>
    <w:p>
      <w:pPr>
        <w:spacing w:before="80" w:after="80"/>
      </w:pPr>
    </w:p>
    <w:p>
      <w:pPr>
        <w:pStyle w:val="Heading3"/>
      </w:pPr>
      <w:r>
        <w:t xml:space="preserve">2. Overview Panel</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Radial donut gauge (78.6), gap tiles, data point count, insight areas unlocked</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Fully visible. Contains the Moenio scroll signal in diagnostic verdict.</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Static display. Diagnostic verdict is content-based scroll encouragement, not a clickable element.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Radial gauge with score (78.6)</w:t>
            </w:r>
          </w:p>
          <w:p>
            <w:pPr>
              <w:spacing w:before="40" w:after="40"/>
            </w:pPr>
            <w:r>
              <w:rPr>
                <w:rFonts w:ascii="Arial" w:cs="Arial" w:eastAsia="Arial" w:hAnsi="Arial"/>
                <w:color w:val="555555"/>
                <w:sz w:val="18"/>
                <w:szCs w:val="18"/>
              </w:rPr>
              <w:t xml:space="preserve">Gap to Excellence tile (-13 pts)</w:t>
            </w:r>
          </w:p>
          <w:p>
            <w:pPr>
              <w:spacing w:before="40" w:after="40"/>
            </w:pPr>
            <w:r>
              <w:rPr>
                <w:rFonts w:ascii="Arial" w:cs="Arial" w:eastAsia="Arial" w:hAnsi="Arial"/>
                <w:color w:val="555555"/>
                <w:sz w:val="18"/>
                <w:szCs w:val="18"/>
              </w:rPr>
              <w:t xml:space="preserve">Gap to Average tile (+12 pts)</w:t>
            </w:r>
          </w:p>
          <w:p>
            <w:pPr>
              <w:spacing w:before="40" w:after="40"/>
            </w:pPr>
            <w:r>
              <w:rPr>
                <w:rFonts w:ascii="Arial" w:cs="Arial" w:eastAsia="Arial" w:hAnsi="Arial"/>
                <w:color w:val="555555"/>
                <w:sz w:val="18"/>
                <w:szCs w:val="18"/>
              </w:rPr>
              <w:t xml:space="preserve">Data completeness (12/12)</w:t>
            </w:r>
          </w:p>
          <w:p>
            <w:pPr>
              <w:spacing w:before="40" w:after="40"/>
            </w:pPr>
            <w:r>
              <w:rPr>
                <w:rFonts w:ascii="Arial" w:cs="Arial" w:eastAsia="Arial" w:hAnsi="Arial"/>
                <w:color w:val="555555"/>
                <w:sz w:val="18"/>
                <w:szCs w:val="18"/>
              </w:rPr>
              <w:t xml:space="preserve">Insight Areas unlocked (3/6)</w:t>
            </w:r>
          </w:p>
          <w:p>
            <w:pPr>
              <w:spacing w:before="40" w:after="40"/>
            </w:pPr>
            <w:r>
              <w:rPr>
                <w:rFonts w:ascii="Arial" w:cs="Arial" w:eastAsia="Arial" w:hAnsi="Arial"/>
                <w:color w:val="555555"/>
                <w:sz w:val="18"/>
                <w:szCs w:val="18"/>
              </w:rPr>
              <w:t xml:space="preserve">ONE-SENTENCE DIAGNOSTIC VERDICT</w:t>
            </w:r>
          </w:p>
          <w:p>
            <w:pPr>
              <w:spacing w:before="40" w:after="40"/>
            </w:pPr>
            <w:r>
              <w:rPr>
                <w:rFonts w:ascii="Arial" w:cs="Arial" w:eastAsia="Arial" w:hAnsi="Arial"/>
                <w:color w:val="555555"/>
                <w:sz w:val="18"/>
                <w:szCs w:val="18"/>
              </w:rPr>
              <w:t xml:space="preserve">(This verdict is the Moenio signal)</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Same as 10-second scan</w:t>
            </w:r>
          </w:p>
          <w:p>
            <w:pPr>
              <w:spacing w:before="40" w:after="40"/>
            </w:pPr>
            <w:r>
              <w:rPr>
                <w:rFonts w:ascii="Arial" w:cs="Arial" w:eastAsia="Arial" w:hAnsi="Arial"/>
                <w:color w:val="555555"/>
                <w:sz w:val="18"/>
                <w:szCs w:val="18"/>
              </w:rPr>
              <w:t xml:space="preserve">Verdict text references what</w:t>
            </w:r>
          </w:p>
          <w:p>
            <w:pPr>
              <w:spacing w:before="40" w:after="40"/>
            </w:pPr>
            <w:r>
              <w:rPr>
                <w:rFonts w:ascii="Arial" w:cs="Arial" w:eastAsia="Arial" w:hAnsi="Arial"/>
                <w:color w:val="555555"/>
                <w:sz w:val="18"/>
                <w:szCs w:val="18"/>
              </w:rPr>
              <w:t xml:space="preserve">observational data reveals below</w:t>
            </w:r>
          </w:p>
          <w:p>
            <w:pPr>
              <w:spacing w:before="40" w:after="40"/>
            </w:pPr>
            <w:r>
              <w:rPr>
                <w:rFonts w:ascii="Arial" w:cs="Arial" w:eastAsia="Arial" w:hAnsi="Arial"/>
                <w:color w:val="555555"/>
                <w:sz w:val="18"/>
                <w:szCs w:val="18"/>
              </w:rPr>
              <w:t xml:space="preserve">(creates scroll motivation)</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Same as 10-second scan</w:t>
            </w:r>
          </w:p>
          <w:p>
            <w:pPr>
              <w:spacing w:before="40" w:after="40"/>
            </w:pPr>
            <w:r>
              <w:rPr>
                <w:rFonts w:ascii="Arial" w:cs="Arial" w:eastAsia="Arial" w:hAnsi="Arial"/>
                <w:color w:val="555555"/>
                <w:sz w:val="18"/>
                <w:szCs w:val="18"/>
              </w:rPr>
              <w:t xml:space="preserve">(No additional content at this speed)</w:t>
            </w:r>
          </w:p>
        </w:tc>
      </w:tr>
    </w:tbl>
    <w:p>
      <w:pPr>
        <w:spacing w:before="40" w:after="40"/>
      </w:pPr>
    </w:p>
    <w:p>
      <w:pPr>
        <w:spacing w:before="60" w:after="60"/>
      </w:pPr>
      <w:r>
        <w:rPr>
          <w:rFonts w:ascii="Arial" w:cs="Arial" w:eastAsia="Arial" w:hAnsi="Arial"/>
          <w:b/>
          <w:bCs/>
          <w:color w:val="C9963B"/>
          <w:sz w:val="20"/>
          <w:szCs w:val="20"/>
        </w:rPr>
        <w:t xml:space="preserve">Critical addition: </w:t>
      </w:r>
      <w:r>
        <w:rPr>
          <w:rFonts w:ascii="Arial" w:cs="Arial" w:eastAsia="Arial" w:hAnsi="Arial"/>
          <w:color w:val="555555"/>
          <w:sz w:val="20"/>
          <w:szCs w:val="20"/>
        </w:rPr>
        <w:t xml:space="preserve">The diagnostic verdict is the single most important copy element missing from Michela’s design. It answers "What does 78.6 mean?" in one sentence AND signals that deeper observational intelligence exists below. Example: "You’re strong on investment knowledge but based on what we’ve observed, how you communicate value is costing you meetings." This line does double duty: diagnosis + scroll motivation. NNGroup research shows content above the fold must signal value below — this verdict is how we do it through copy, not UI arrows.</w:t>
      </w:r>
    </w:p>
    <w:p>
      <w:pPr>
        <w:spacing w:before="80" w:after="80"/>
      </w:pPr>
    </w:p>
    <w:p>
      <w:pPr>
        <w:pStyle w:val="Heading3"/>
      </w:pPr>
      <w:r>
        <w:t xml:space="preserve">3. Percentile Ranking</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94th Percentile with linear progress bar, Top 5% benchmark at 93rd</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Fully visible. Compact section.</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Static at all speeds. No expandable content.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Percentile number (94th)</w:t>
            </w:r>
          </w:p>
          <w:p>
            <w:pPr>
              <w:spacing w:before="40" w:after="40"/>
            </w:pPr>
            <w:r>
              <w:rPr>
                <w:rFonts w:ascii="Arial" w:cs="Arial" w:eastAsia="Arial" w:hAnsi="Arial"/>
                <w:color w:val="555555"/>
                <w:sz w:val="18"/>
                <w:szCs w:val="18"/>
              </w:rPr>
              <w:t xml:space="preserve">Linear bar with position marker</w:t>
            </w:r>
          </w:p>
          <w:p>
            <w:pPr>
              <w:spacing w:before="40" w:after="40"/>
            </w:pPr>
            <w:r>
              <w:rPr>
                <w:rFonts w:ascii="Arial" w:cs="Arial" w:eastAsia="Arial" w:hAnsi="Arial"/>
                <w:color w:val="555555"/>
                <w:sz w:val="18"/>
                <w:szCs w:val="18"/>
              </w:rPr>
              <w:t xml:space="preserve">Top 5% benchmark line</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Same as 10-second scan</w:t>
            </w:r>
          </w:p>
          <w:p>
            <w:pPr>
              <w:spacing w:before="40" w:after="40"/>
            </w:pPr>
            <w:r>
              <w:rPr>
                <w:rFonts w:ascii="Arial" w:cs="Arial" w:eastAsia="Arial" w:hAnsi="Arial"/>
                <w:color w:val="555555"/>
                <w:sz w:val="18"/>
                <w:szCs w:val="18"/>
              </w:rPr>
              <w:t xml:space="preserve">EDR copy: one-line context</w:t>
            </w:r>
          </w:p>
          <w:p>
            <w:pPr>
              <w:spacing w:before="40" w:after="40"/>
            </w:pPr>
            <w:r>
              <w:rPr>
                <w:rFonts w:ascii="Arial" w:cs="Arial" w:eastAsia="Arial" w:hAnsi="Arial"/>
                <w:color w:val="555555"/>
                <w:sz w:val="18"/>
                <w:szCs w:val="18"/>
              </w:rPr>
              <w:t xml:space="preserve">("Top 6% of advisors assessed")</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Same as 2-minute read</w:t>
            </w:r>
          </w:p>
          <w:p>
            <w:pPr>
              <w:spacing w:before="40" w:after="40"/>
            </w:pPr>
            <w:r>
              <w:rPr>
                <w:rFonts w:ascii="Arial" w:cs="Arial" w:eastAsia="Arial" w:hAnsi="Arial"/>
                <w:color w:val="555555"/>
                <w:sz w:val="18"/>
                <w:szCs w:val="18"/>
              </w:rPr>
              <w:t xml:space="preserve">(No additional content at this speed)</w:t>
            </w:r>
          </w:p>
        </w:tc>
      </w:tr>
    </w:tbl>
    <w:p>
      <w:pPr>
        <w:spacing w:before="40" w:after="40"/>
      </w:pPr>
    </w:p>
    <w:p>
      <w:pPr>
        <w:spacing w:before="60" w:after="60"/>
      </w:pPr>
      <w:r>
        <w:rPr>
          <w:rFonts w:ascii="Arial" w:cs="Arial" w:eastAsia="Arial" w:hAnsi="Arial"/>
          <w:b/>
          <w:bCs/>
          <w:color w:val="333333"/>
          <w:sz w:val="20"/>
          <w:szCs w:val="20"/>
        </w:rPr>
        <w:t xml:space="preserve">Design note: </w:t>
      </w:r>
      <w:r>
        <w:rPr>
          <w:rFonts w:ascii="Arial" w:cs="Arial" w:eastAsia="Arial" w:hAnsi="Arial"/>
          <w:color w:val="555555"/>
          <w:sz w:val="20"/>
          <w:szCs w:val="20"/>
        </w:rPr>
        <w:t xml:space="preserve">This section is intentionally compact. It’s Visualization Pairing #2 (linear position marker) executed simply. The 2-minute read adds only a single contextual line explaining what the percentile means in practice. No expansion needed — the value is immediate.</w:t>
      </w:r>
    </w:p>
    <w:p>
      <w:pPr>
        <w:spacing w:before="80" w:after="80"/>
      </w:pPr>
    </w:p>
    <w:p>
      <w:pPr>
        <w:pStyle w:val="Heading3"/>
      </w:pPr>
      <w:r>
        <w:t xml:space="preserve">4. Insight Areas (Dot Navigation)</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Colored dot indicators (green/red/gray), detail panel with stat tiles, S&amp;W sections, improvement priorities</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Dot row visible. ALL insight area panels COLLAPSED. No auto-expand.</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Click any dot or area name to expand its panel. Multiple can be open simultaneously.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Dot indicator row visible</w:t>
            </w:r>
          </w:p>
          <w:p>
            <w:pPr>
              <w:spacing w:before="40" w:after="40"/>
            </w:pPr>
            <w:r>
              <w:rPr>
                <w:rFonts w:ascii="Arial" w:cs="Arial" w:eastAsia="Arial" w:hAnsi="Arial"/>
                <w:color w:val="555555"/>
                <w:sz w:val="18"/>
                <w:szCs w:val="18"/>
              </w:rPr>
              <w:t xml:space="preserve">(●●●○○○)</w:t>
            </w:r>
          </w:p>
          <w:p>
            <w:pPr>
              <w:spacing w:before="40" w:after="40"/>
            </w:pPr>
            <w:r>
              <w:rPr>
                <w:rFonts w:ascii="Arial" w:cs="Arial" w:eastAsia="Arial" w:hAnsi="Arial"/>
                <w:color w:val="555555"/>
                <w:sz w:val="18"/>
                <w:szCs w:val="18"/>
              </w:rPr>
              <w:t xml:space="preserve">Color signals status instantly</w:t>
            </w:r>
          </w:p>
          <w:p>
            <w:pPr>
              <w:spacing w:before="40" w:after="40"/>
            </w:pPr>
            <w:r>
              <w:rPr>
                <w:rFonts w:ascii="Arial" w:cs="Arial" w:eastAsia="Arial" w:hAnsi="Arial"/>
                <w:color w:val="555555"/>
                <w:sz w:val="18"/>
                <w:szCs w:val="18"/>
              </w:rPr>
              <w:t xml:space="preserve">Green = strong, Red = gap</w:t>
            </w:r>
          </w:p>
          <w:p>
            <w:pPr>
              <w:spacing w:before="40" w:after="40"/>
            </w:pPr>
            <w:r>
              <w:rPr>
                <w:rFonts w:ascii="Arial" w:cs="Arial" w:eastAsia="Arial" w:hAnsi="Arial"/>
                <w:color w:val="555555"/>
                <w:sz w:val="18"/>
                <w:szCs w:val="18"/>
              </w:rPr>
              <w:t xml:space="preserve">Gray = locked (conversion signal)</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Dot row + area names visible</w:t>
            </w:r>
          </w:p>
          <w:p>
            <w:pPr>
              <w:spacing w:before="40" w:after="40"/>
            </w:pPr>
            <w:r>
              <w:rPr>
                <w:rFonts w:ascii="Arial" w:cs="Arial" w:eastAsia="Arial" w:hAnsi="Arial"/>
                <w:color w:val="555555"/>
                <w:sz w:val="18"/>
                <w:szCs w:val="18"/>
              </w:rPr>
              <w:t xml:space="preserve">Each area shows name only</w:t>
            </w:r>
          </w:p>
          <w:p>
            <w:pPr>
              <w:spacing w:before="40" w:after="40"/>
            </w:pPr>
            <w:r>
              <w:rPr>
                <w:rFonts w:ascii="Arial" w:cs="Arial" w:eastAsia="Arial" w:hAnsi="Arial"/>
                <w:color w:val="555555"/>
                <w:sz w:val="18"/>
                <w:szCs w:val="18"/>
              </w:rPr>
              <w:t xml:space="preserve">Color-coded status persists</w:t>
            </w:r>
          </w:p>
          <w:p>
            <w:pPr>
              <w:spacing w:before="40" w:after="40"/>
            </w:pPr>
            <w:r>
              <w:rPr>
                <w:rFonts w:ascii="Arial" w:cs="Arial" w:eastAsia="Arial" w:hAnsi="Arial"/>
                <w:color w:val="555555"/>
                <w:sz w:val="18"/>
                <w:szCs w:val="18"/>
              </w:rPr>
              <w:t xml:space="preserve">No panels expanded</w:t>
            </w:r>
          </w:p>
          <w:p>
            <w:pPr>
              <w:spacing w:before="40" w:after="40"/>
            </w:pPr>
            <w:r>
              <w:rPr>
                <w:rFonts w:ascii="Arial" w:cs="Arial" w:eastAsia="Arial" w:hAnsi="Arial"/>
                <w:color w:val="555555"/>
                <w:sz w:val="18"/>
                <w:szCs w:val="18"/>
              </w:rPr>
              <w:t xml:space="preserve">Advisor sees full landscape</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Click any area to expand:</w:t>
            </w:r>
          </w:p>
          <w:p>
            <w:pPr>
              <w:spacing w:before="40" w:after="40"/>
            </w:pPr>
            <w:r>
              <w:rPr>
                <w:rFonts w:ascii="Arial" w:cs="Arial" w:eastAsia="Arial" w:hAnsi="Arial"/>
                <w:color w:val="555555"/>
                <w:sz w:val="18"/>
                <w:szCs w:val="18"/>
              </w:rPr>
              <w:t xml:space="preserve">• Stat tiles (Score, Top 5%,</w:t>
            </w:r>
          </w:p>
          <w:p>
            <w:pPr>
              <w:spacing w:before="40" w:after="40"/>
            </w:pPr>
            <w:r>
              <w:rPr>
                <w:rFonts w:ascii="Arial" w:cs="Arial" w:eastAsia="Arial" w:hAnsi="Arial"/>
                <w:color w:val="555555"/>
                <w:sz w:val="18"/>
                <w:szCs w:val="18"/>
              </w:rPr>
              <w:t xml:space="preserve">  Average, Gap)</w:t>
            </w:r>
          </w:p>
          <w:p>
            <w:pPr>
              <w:spacing w:before="40" w:after="40"/>
            </w:pPr>
            <w:r>
              <w:rPr>
                <w:rFonts w:ascii="Arial" w:cs="Arial" w:eastAsia="Arial" w:hAnsi="Arial"/>
                <w:color w:val="555555"/>
                <w:sz w:val="18"/>
                <w:szCs w:val="18"/>
              </w:rPr>
              <w:t xml:space="preserve">• Strengths &amp; Weaknesses</w:t>
            </w:r>
          </w:p>
          <w:p>
            <w:pPr>
              <w:spacing w:before="40" w:after="40"/>
            </w:pPr>
            <w:r>
              <w:rPr>
                <w:rFonts w:ascii="Arial" w:cs="Arial" w:eastAsia="Arial" w:hAnsi="Arial"/>
                <w:color w:val="555555"/>
                <w:sz w:val="18"/>
                <w:szCs w:val="18"/>
              </w:rPr>
              <w:t xml:space="preserve">• Improvement Priority</w:t>
            </w:r>
          </w:p>
          <w:p>
            <w:pPr>
              <w:spacing w:before="40" w:after="40"/>
            </w:pPr>
            <w:r>
              <w:rPr>
                <w:rFonts w:ascii="Arial" w:cs="Arial" w:eastAsia="Arial" w:hAnsi="Arial"/>
                <w:color w:val="555555"/>
                <w:sz w:val="18"/>
                <w:szCs w:val="18"/>
              </w:rPr>
              <w:t xml:space="preserve">• Timeline estimate</w:t>
            </w:r>
          </w:p>
          <w:p>
            <w:pPr>
              <w:spacing w:before="40" w:after="40"/>
            </w:pPr>
            <w:r>
              <w:rPr>
                <w:rFonts w:ascii="Arial" w:cs="Arial" w:eastAsia="Arial" w:hAnsi="Arial"/>
                <w:color w:val="555555"/>
                <w:sz w:val="18"/>
                <w:szCs w:val="18"/>
              </w:rPr>
              <w:t xml:space="preserve">Multiple areas expandable</w:t>
            </w:r>
          </w:p>
        </w:tc>
      </w:tr>
    </w:tbl>
    <w:p>
      <w:pPr>
        <w:spacing w:before="40" w:after="40"/>
      </w:pPr>
    </w:p>
    <w:p>
      <w:pPr>
        <w:spacing w:before="60" w:after="60"/>
      </w:pPr>
      <w:r>
        <w:rPr>
          <w:rFonts w:ascii="Arial" w:cs="Arial" w:eastAsia="Arial" w:hAnsi="Arial"/>
          <w:b/>
          <w:bCs/>
          <w:color w:val="2E8B8B"/>
          <w:sz w:val="20"/>
          <w:szCs w:val="20"/>
        </w:rPr>
        <w:t xml:space="preserve">Research basis: </w:t>
      </w:r>
      <w:r>
        <w:rPr>
          <w:rFonts w:ascii="Arial" w:cs="Arial" w:eastAsia="Arial" w:hAnsi="Arial"/>
          <w:color w:val="555555"/>
          <w:sz w:val="20"/>
          <w:szCs w:val="20"/>
        </w:rPr>
        <w:t xml:space="preserve">NNGroup found that auto-expanding the first accordion on WebMD drug pages prevented users from seeing the page structure. Users assumed the page was only about the first expanded section and left. The dot navigation row’s entire value proposition IS the landscape view — showing all six areas’ status simultaneously. Auto-expanding one area would push others below the fold and defeat the pattern. The advisor chooses which dot to explore based on color signals. This is progressive disclosure working as designed.</w:t>
      </w:r>
    </w:p>
    <w:p>
      <w:pPr>
        <w:spacing w:before="40" w:after="40"/>
      </w:pPr>
    </w:p>
    <w:p>
      <w:pPr>
        <w:spacing w:before="60" w:after="60"/>
      </w:pPr>
      <w:r>
        <w:rPr>
          <w:rFonts w:ascii="Arial" w:cs="Arial" w:eastAsia="Arial" w:hAnsi="Arial"/>
          <w:b/>
          <w:bCs/>
          <w:color w:val="333333"/>
          <w:sz w:val="20"/>
          <w:szCs w:val="20"/>
        </w:rPr>
        <w:t xml:space="preserve">Unique Michela element: </w:t>
      </w:r>
      <w:r>
        <w:rPr>
          <w:rFonts w:ascii="Arial" w:cs="Arial" w:eastAsia="Arial" w:hAnsi="Arial"/>
          <w:color w:val="555555"/>
          <w:sz w:val="20"/>
          <w:szCs w:val="20"/>
        </w:rPr>
        <w:t xml:space="preserve">The dot indicator row is a standout design element carried forward from Michela’s work. It uses color + shape for accessibility, provides instant visual status, remains compact, and naturally serves progressive disclosure. This is the anchor of the three-speed model for this section.</w:t>
      </w:r>
    </w:p>
    <w:p>
      <w:pPr>
        <w:spacing w:before="80" w:after="80"/>
      </w:pPr>
    </w:p>
    <w:p>
      <w:pPr>
        <w:pStyle w:val="Heading3"/>
      </w:pPr>
      <w:r>
        <w:t xml:space="preserve">5. Data Point Scores</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Two-column comparison bars (You vs Top 5%, You vs Average), DP-001 through DP-011, Pattern Detected callout</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COLLAPSED. Only header + summary line visible.</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Click header to expand full data table. Single expansion, not per-item.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Not in first viewport</w:t>
            </w:r>
          </w:p>
          <w:p>
            <w:pPr>
              <w:spacing w:before="40" w:after="40"/>
            </w:pPr>
            <w:r>
              <w:rPr>
                <w:rFonts w:ascii="Arial" w:cs="Arial" w:eastAsia="Arial" w:hAnsi="Arial"/>
                <w:color w:val="555555"/>
                <w:sz w:val="18"/>
                <w:szCs w:val="18"/>
              </w:rPr>
              <w:t xml:space="preserve">(below the fold for scanners)</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Collapsed section header visible:</w:t>
            </w:r>
          </w:p>
          <w:p>
            <w:pPr>
              <w:spacing w:before="40" w:after="40"/>
            </w:pPr>
            <w:r>
              <w:rPr>
                <w:rFonts w:ascii="Arial" w:cs="Arial" w:eastAsia="Arial" w:hAnsi="Arial"/>
                <w:color w:val="555555"/>
                <w:sz w:val="18"/>
                <w:szCs w:val="18"/>
              </w:rPr>
              <w:t xml:space="preserve">"Your Data Points: 11 Assessed"</w:t>
            </w:r>
          </w:p>
          <w:p>
            <w:pPr>
              <w:spacing w:before="40" w:after="40"/>
            </w:pPr>
            <w:r>
              <w:rPr>
                <w:rFonts w:ascii="Arial" w:cs="Arial" w:eastAsia="Arial" w:hAnsi="Arial"/>
                <w:color w:val="555555"/>
                <w:sz w:val="18"/>
                <w:szCs w:val="18"/>
              </w:rPr>
              <w:t xml:space="preserve">Summary line: strongest and</w:t>
            </w:r>
          </w:p>
          <w:p>
            <w:pPr>
              <w:spacing w:before="40" w:after="40"/>
            </w:pPr>
            <w:r>
              <w:rPr>
                <w:rFonts w:ascii="Arial" w:cs="Arial" w:eastAsia="Arial" w:hAnsi="Arial"/>
                <w:color w:val="555555"/>
                <w:sz w:val="18"/>
                <w:szCs w:val="18"/>
              </w:rPr>
              <w:t xml:space="preserve">weakest data point named</w:t>
            </w:r>
          </w:p>
          <w:p>
            <w:pPr>
              <w:spacing w:before="40" w:after="40"/>
            </w:pPr>
            <w:r>
              <w:rPr>
                <w:rFonts w:ascii="Arial" w:cs="Arial" w:eastAsia="Arial" w:hAnsi="Arial"/>
                <w:color w:val="555555"/>
                <w:sz w:val="18"/>
                <w:szCs w:val="18"/>
              </w:rPr>
              <w:t xml:space="preserve">(No bars visible)</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Click to expand:</w:t>
            </w:r>
          </w:p>
          <w:p>
            <w:pPr>
              <w:spacing w:before="40" w:after="40"/>
            </w:pPr>
            <w:r>
              <w:rPr>
                <w:rFonts w:ascii="Arial" w:cs="Arial" w:eastAsia="Arial" w:hAnsi="Arial"/>
                <w:color w:val="555555"/>
                <w:sz w:val="18"/>
                <w:szCs w:val="18"/>
              </w:rPr>
              <w:t xml:space="preserve">• Full dual-column comparison</w:t>
            </w:r>
          </w:p>
          <w:p>
            <w:pPr>
              <w:spacing w:before="40" w:after="40"/>
            </w:pPr>
            <w:r>
              <w:rPr>
                <w:rFonts w:ascii="Arial" w:cs="Arial" w:eastAsia="Arial" w:hAnsi="Arial"/>
                <w:color w:val="555555"/>
                <w:sz w:val="18"/>
                <w:szCs w:val="18"/>
              </w:rPr>
              <w:t xml:space="preserve">• Horizontal bars for all 11 DPs</w:t>
            </w:r>
          </w:p>
          <w:p>
            <w:pPr>
              <w:spacing w:before="40" w:after="40"/>
            </w:pPr>
            <w:r>
              <w:rPr>
                <w:rFonts w:ascii="Arial" w:cs="Arial" w:eastAsia="Arial" w:hAnsi="Arial"/>
                <w:color w:val="555555"/>
                <w:sz w:val="18"/>
                <w:szCs w:val="18"/>
              </w:rPr>
              <w:t xml:space="preserve">• Advisor-facing names (NOT</w:t>
            </w:r>
          </w:p>
          <w:p>
            <w:pPr>
              <w:spacing w:before="40" w:after="40"/>
            </w:pPr>
            <w:r>
              <w:rPr>
                <w:rFonts w:ascii="Arial" w:cs="Arial" w:eastAsia="Arial" w:hAnsi="Arial"/>
                <w:color w:val="555555"/>
                <w:sz w:val="18"/>
                <w:szCs w:val="18"/>
              </w:rPr>
              <w:t xml:space="preserve">  DP-001 format)</w:t>
            </w:r>
          </w:p>
          <w:p>
            <w:pPr>
              <w:spacing w:before="40" w:after="40"/>
            </w:pPr>
            <w:r>
              <w:rPr>
                <w:rFonts w:ascii="Arial" w:cs="Arial" w:eastAsia="Arial" w:hAnsi="Arial"/>
                <w:color w:val="555555"/>
                <w:sz w:val="18"/>
                <w:szCs w:val="18"/>
              </w:rPr>
              <w:t xml:space="preserve">• Pattern Detected synthesis</w:t>
            </w:r>
          </w:p>
          <w:p>
            <w:pPr>
              <w:spacing w:before="40" w:after="40"/>
            </w:pPr>
            <w:r>
              <w:rPr>
                <w:rFonts w:ascii="Arial" w:cs="Arial" w:eastAsia="Arial" w:hAnsi="Arial"/>
                <w:color w:val="555555"/>
                <w:sz w:val="18"/>
                <w:szCs w:val="18"/>
              </w:rPr>
              <w:t xml:space="preserve">  woven into diagnostic copy</w:t>
            </w:r>
          </w:p>
        </w:tc>
      </w:tr>
    </w:tbl>
    <w:p>
      <w:pPr>
        <w:spacing w:before="40" w:after="40"/>
      </w:pPr>
    </w:p>
    <w:p>
      <w:pPr>
        <w:spacing w:before="60" w:after="60"/>
      </w:pPr>
      <w:r>
        <w:rPr>
          <w:rFonts w:ascii="Arial" w:cs="Arial" w:eastAsia="Arial" w:hAnsi="Arial"/>
          <w:b/>
          <w:bCs/>
          <w:color w:val="2E8B8B"/>
          <w:sz w:val="20"/>
          <w:szCs w:val="20"/>
        </w:rPr>
        <w:t xml:space="preserve">Research basis: </w:t>
      </w:r>
      <w:r>
        <w:rPr>
          <w:rFonts w:ascii="Arial" w:cs="Arial" w:eastAsia="Arial" w:hAnsi="Arial"/>
          <w:color w:val="555555"/>
          <w:sz w:val="20"/>
          <w:szCs w:val="20"/>
        </w:rPr>
        <w:t xml:space="preserve">Dashboard research consistently finds that showing all data because it exists creates diminishing returns. Users assume everything visible is important, increasing cognitive load. Pencil &amp; Paper names this the "data eyeball attack." Fresh Consulting recommends starting with high-level snapshots and making detail available on demand. Collapsing this section also creates better visual pacing before the threshold — the page narrows down rather than expanding, making the Moenio section feel like an opening up.</w:t>
      </w:r>
    </w:p>
    <w:p>
      <w:pPr>
        <w:spacing w:before="40" w:after="40"/>
      </w:pPr>
    </w:p>
    <w:p>
      <w:pPr>
        <w:spacing w:before="60" w:after="60"/>
      </w:pPr>
      <w:r>
        <w:rPr>
          <w:rFonts w:ascii="Arial" w:cs="Arial" w:eastAsia="Arial" w:hAnsi="Arial"/>
          <w:b/>
          <w:bCs/>
          <w:color w:val="333333"/>
          <w:sz w:val="20"/>
          <w:szCs w:val="20"/>
        </w:rPr>
        <w:t xml:space="preserve">Critical implementation: </w:t>
      </w:r>
      <w:r>
        <w:rPr>
          <w:rFonts w:ascii="Arial" w:cs="Arial" w:eastAsia="Arial" w:hAnsi="Arial"/>
          <w:color w:val="555555"/>
          <w:sz w:val="20"/>
          <w:szCs w:val="20"/>
        </w:rPr>
        <w:t xml:space="preserve">The collapsed header must be descriptive enough to make the click feel worthwhile. NNGroup research shows users treat clicks like currency — resentment builds when clicks feel wasted. "Your Data Points: 11 Assessed" plus a one-line summary ("Strongest: Investment Philosophy Clarity • Weakest: Value Quantification") gives enough information to decide whether to expand. The Pattern Detected callout from Michela’s design is not a standalone box — its intelligence is woven into the EDR diagnostic copy throughout.</w:t>
      </w:r>
    </w:p>
    <w:p>
      <w:pPr>
        <w:spacing w:before="40" w:after="40"/>
      </w:pPr>
    </w:p>
    <w:p>
      <w:pPr>
        <w:spacing w:before="60" w:after="60"/>
      </w:pPr>
      <w:r>
        <w:rPr>
          <w:rFonts w:ascii="Arial" w:cs="Arial" w:eastAsia="Arial" w:hAnsi="Arial"/>
          <w:b/>
          <w:bCs/>
          <w:color w:val="333333"/>
          <w:sz w:val="20"/>
          <w:szCs w:val="20"/>
        </w:rPr>
        <w:t xml:space="preserve">Zero internal language: </w:t>
      </w:r>
      <w:r>
        <w:rPr>
          <w:rFonts w:ascii="Arial" w:cs="Arial" w:eastAsia="Arial" w:hAnsi="Arial"/>
          <w:color w:val="555555"/>
          <w:sz w:val="20"/>
          <w:szCs w:val="20"/>
        </w:rPr>
        <w:t xml:space="preserve">DP-001, DP-002, etc. must become advisor-facing names. This is a hard requirement from the zero internal language rule established in Session 4.</w:t>
      </w:r>
    </w:p>
    <w:p>
      <w:pPr>
        <w:spacing w:before="80" w:after="80"/>
      </w:pPr>
    </w:p>
    <w:p>
      <w:pPr>
        <w:pStyle w:val="Heading3"/>
      </w:pPr>
      <w:r>
        <w:t xml:space="preserve">6. Competitive Position: Your Scores</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Split panel dimensions with scores — Part 1 of the split</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Visible. Shows dimension names and scores only. No behavioral framing.</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Static at 2-minute speed. Deep dive adds detail per dimension.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Not in first viewport</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Dimension names + scores:</w:t>
            </w:r>
          </w:p>
          <w:p>
            <w:pPr>
              <w:spacing w:before="40" w:after="40"/>
            </w:pPr>
            <w:r>
              <w:rPr>
                <w:rFonts w:ascii="Arial" w:cs="Arial" w:eastAsia="Arial" w:hAnsi="Arial"/>
                <w:color w:val="555555"/>
                <w:sz w:val="18"/>
                <w:szCs w:val="18"/>
              </w:rPr>
              <w:t xml:space="preserve">• Investment Philosophy</w:t>
            </w:r>
          </w:p>
          <w:p>
            <w:pPr>
              <w:spacing w:before="40" w:after="40"/>
            </w:pPr>
            <w:r>
              <w:rPr>
                <w:rFonts w:ascii="Arial" w:cs="Arial" w:eastAsia="Arial" w:hAnsi="Arial"/>
                <w:color w:val="555555"/>
                <w:sz w:val="18"/>
                <w:szCs w:val="18"/>
              </w:rPr>
              <w:t xml:space="preserve">  Clarity: 85%</w:t>
            </w:r>
          </w:p>
          <w:p>
            <w:pPr>
              <w:spacing w:before="40" w:after="40"/>
            </w:pPr>
            <w:r>
              <w:rPr>
                <w:rFonts w:ascii="Arial" w:cs="Arial" w:eastAsia="Arial" w:hAnsi="Arial"/>
                <w:color w:val="555555"/>
                <w:sz w:val="18"/>
                <w:szCs w:val="18"/>
              </w:rPr>
              <w:t xml:space="preserve">• Value Quantification: 58%</w:t>
            </w:r>
          </w:p>
          <w:p>
            <w:pPr>
              <w:spacing w:before="40" w:after="40"/>
            </w:pPr>
            <w:r>
              <w:rPr>
                <w:rFonts w:ascii="Arial" w:cs="Arial" w:eastAsia="Arial" w:hAnsi="Arial"/>
                <w:color w:val="555555"/>
                <w:sz w:val="18"/>
                <w:szCs w:val="18"/>
              </w:rPr>
              <w:t xml:space="preserve">• Fee Transparency: 72%</w:t>
            </w:r>
          </w:p>
          <w:p>
            <w:pPr>
              <w:spacing w:before="40" w:after="40"/>
            </w:pPr>
            <w:r>
              <w:rPr>
                <w:rFonts w:ascii="Arial" w:cs="Arial" w:eastAsia="Arial" w:hAnsi="Arial"/>
                <w:color w:val="555555"/>
                <w:sz w:val="18"/>
                <w:szCs w:val="18"/>
              </w:rPr>
              <w:t xml:space="preserve">(Scores only, no interpretation)</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Per-dimension detail:</w:t>
            </w:r>
          </w:p>
          <w:p>
            <w:pPr>
              <w:spacing w:before="40" w:after="40"/>
            </w:pPr>
            <w:r>
              <w:rPr>
                <w:rFonts w:ascii="Arial" w:cs="Arial" w:eastAsia="Arial" w:hAnsi="Arial"/>
                <w:color w:val="555555"/>
                <w:sz w:val="18"/>
                <w:szCs w:val="18"/>
              </w:rPr>
              <w:t xml:space="preserve">• What was measured</w:t>
            </w:r>
          </w:p>
          <w:p>
            <w:pPr>
              <w:spacing w:before="40" w:after="40"/>
            </w:pPr>
            <w:r>
              <w:rPr>
                <w:rFonts w:ascii="Arial" w:cs="Arial" w:eastAsia="Arial" w:hAnsi="Arial"/>
                <w:color w:val="555555"/>
                <w:sz w:val="18"/>
                <w:szCs w:val="18"/>
              </w:rPr>
              <w:t xml:space="preserve">• How score was calculated</w:t>
            </w:r>
          </w:p>
          <w:p>
            <w:pPr>
              <w:spacing w:before="40" w:after="40"/>
            </w:pPr>
            <w:r>
              <w:rPr>
                <w:rFonts w:ascii="Arial" w:cs="Arial" w:eastAsia="Arial" w:hAnsi="Arial"/>
                <w:color w:val="555555"/>
                <w:sz w:val="18"/>
                <w:szCs w:val="18"/>
              </w:rPr>
              <w:t xml:space="preserve">• Score context vs. benchmarks</w:t>
            </w:r>
          </w:p>
        </w:tc>
      </w:tr>
    </w:tbl>
    <w:p>
      <w:pPr>
        <w:spacing w:before="40" w:after="40"/>
      </w:pPr>
    </w:p>
    <w:p>
      <w:pPr>
        <w:spacing w:before="60" w:after="60"/>
      </w:pPr>
      <w:r>
        <w:rPr>
          <w:rFonts w:ascii="Arial" w:cs="Arial" w:eastAsia="Arial" w:hAnsi="Arial"/>
          <w:b/>
          <w:bCs/>
          <w:color w:val="333333"/>
          <w:sz w:val="20"/>
          <w:szCs w:val="20"/>
        </w:rPr>
        <w:t xml:space="preserve">Split logic: </w:t>
      </w:r>
      <w:r>
        <w:rPr>
          <w:rFonts w:ascii="Arial" w:cs="Arial" w:eastAsia="Arial" w:hAnsi="Arial"/>
          <w:color w:val="555555"/>
          <w:sz w:val="20"/>
          <w:szCs w:val="20"/>
        </w:rPr>
        <w:t xml:space="preserve">This is the first half of the Competitive Position split. The advisor sees their scores as data points here. After crossing the threshold, they see the SAME dimensions reframed through the behavioral lens in Part 2. The split only works if the frame exists before the reframe — the advisor needs to see "Value Quantification: 58%" before feeling the impact of "Can’t answer: What am I getting for $30K/year?"</w:t>
      </w:r>
    </w:p>
    <w:p>
      <w:pPr>
        <w:pBdr>
          <w:top w:val="single" w:color="C9963B" w:sz="12" w:space="4"/>
        </w:pBdr>
        <w:spacing w:before="300" w:after="0"/>
      </w:pPr>
    </w:p>
    <w:p>
      <w:pPr>
        <w:shd w:fill="FDF8F0" w:val="clear"/>
        <w:spacing w:before="80" w:after="80"/>
        <w:jc w:val="center"/>
      </w:pPr>
      <w:r>
        <w:rPr>
          <w:rFonts w:ascii="Arial" w:cs="Arial" w:eastAsia="Arial" w:hAnsi="Arial"/>
          <w:b/>
          <w:bCs/>
          <w:color w:val="C9963B"/>
          <w:sz w:val="22"/>
          <w:szCs w:val="22"/>
        </w:rPr>
        <w:t xml:space="preserve">═══  MOENIO THRESHOLD  ═══</w:t>
      </w:r>
    </w:p>
    <w:p>
      <w:pPr>
        <w:shd w:fill="FDF8F0" w:val="clear"/>
        <w:spacing w:before="0" w:after="0"/>
        <w:jc w:val="center"/>
      </w:pPr>
      <w:r>
        <w:rPr>
          <w:rFonts w:ascii="Arial" w:cs="Arial" w:eastAsia="Arial" w:hAnsi="Arial"/>
          <w:i/>
          <w:iCs/>
          <w:color w:val="C9963B"/>
          <w:sz w:val="18"/>
          <w:szCs w:val="18"/>
        </w:rPr>
        <w:t xml:space="preserve">Visual shift: Background, typography, voice, and accent color change</w:t>
      </w:r>
    </w:p>
    <w:p>
      <w:pPr>
        <w:pBdr>
          <w:bottom w:val="single" w:color="C9963B" w:sz="12" w:space="4"/>
        </w:pBdr>
        <w:spacing w:before="0" w:after="300"/>
      </w:pPr>
    </w:p>
    <w:p>
      <w:pPr>
        <w:pBdr>
          <w:left w:val="single" w:color="C9963B" w:sz="18" w:space="8"/>
        </w:pBdr>
        <w:shd w:fill="FDF8F0" w:val="clear"/>
        <w:spacing w:before="240" w:after="80"/>
      </w:pPr>
      <w:r>
        <w:rPr>
          <w:rFonts w:ascii="Arial" w:cs="Arial" w:eastAsia="Arial" w:hAnsi="Arial"/>
          <w:b/>
          <w:bCs/>
          <w:color w:val="C9963B"/>
          <w:sz w:val="24"/>
          <w:szCs w:val="24"/>
        </w:rPr>
        <w:t xml:space="preserve">  PART 2: THE MOENIO PERSPECTIVE</w:t>
      </w:r>
    </w:p>
    <w:p>
      <w:pPr>
        <w:spacing w:before="40" w:after="40"/>
      </w:pPr>
    </w:p>
    <w:p>
      <w:pPr>
        <w:spacing w:before="60" w:after="60"/>
      </w:pPr>
      <w:r>
        <w:rPr>
          <w:rFonts w:ascii="Arial" w:cs="Arial" w:eastAsia="Arial" w:hAnsi="Arial"/>
          <w:b w:val="false"/>
          <w:bCs w:val="false"/>
          <w:i w:val="false"/>
          <w:iCs w:val="false"/>
          <w:color w:val="555555"/>
          <w:sz w:val="20"/>
          <w:szCs w:val="20"/>
        </w:rPr>
        <w:t xml:space="preserve">Everything below the threshold carries the Moenio visual treatment: shifted background, adjusted typography, observational voice, gold accent language. This is the platform’s exclusive intelligence layer — the moat. All three Michela elements selected for carry-forward live here.</w:t>
      </w:r>
    </w:p>
    <w:p>
      <w:pPr>
        <w:spacing w:before="80" w:after="80"/>
      </w:pPr>
    </w:p>
    <w:p>
      <w:pPr>
        <w:pStyle w:val="Heading3"/>
      </w:pPr>
      <w:r>
        <w:t xml:space="preserve">7. Competitive Position: What It Means</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WHAT WINS / WHAT LOSES split panel with competitor framing, action arrows</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Visible. The split panel is the 2-minute cheat sheet.</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2-minute read sees full panel. Deep dive expands per-dimension competitor detail.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Not reached by 10-sec scan</w:t>
            </w:r>
          </w:p>
          <w:p>
            <w:pPr>
              <w:spacing w:before="40" w:after="40"/>
            </w:pPr>
            <w:r>
              <w:rPr>
                <w:rFonts w:ascii="Arial" w:cs="Arial" w:eastAsia="Arial" w:hAnsi="Arial"/>
                <w:color w:val="555555"/>
                <w:sz w:val="18"/>
                <w:szCs w:val="18"/>
              </w:rPr>
              <w:t xml:space="preserve">(lives below the threshold,</w:t>
            </w:r>
          </w:p>
          <w:p>
            <w:pPr>
              <w:spacing w:before="40" w:after="40"/>
            </w:pPr>
            <w:r>
              <w:rPr>
                <w:rFonts w:ascii="Arial" w:cs="Arial" w:eastAsia="Arial" w:hAnsi="Arial"/>
                <w:color w:val="555555"/>
                <w:sz w:val="18"/>
                <w:szCs w:val="18"/>
              </w:rPr>
              <w:t xml:space="preserve">past multiple screenfuls)</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Full split panel visible:</w:t>
            </w:r>
          </w:p>
          <w:p>
            <w:pPr>
              <w:spacing w:before="40" w:after="40"/>
            </w:pPr>
            <w:r>
              <w:rPr>
                <w:rFonts w:ascii="Arial" w:cs="Arial" w:eastAsia="Arial" w:hAnsi="Arial"/>
                <w:color w:val="555555"/>
                <w:sz w:val="18"/>
                <w:szCs w:val="18"/>
              </w:rPr>
              <w:t xml:space="preserve">WHAT WINS MEETINGS:</w:t>
            </w:r>
          </w:p>
          <w:p>
            <w:pPr>
              <w:spacing w:before="40" w:after="40"/>
            </w:pPr>
            <w:r>
              <w:rPr>
                <w:rFonts w:ascii="Arial" w:cs="Arial" w:eastAsia="Arial" w:hAnsi="Arial"/>
                <w:color w:val="555555"/>
                <w:sz w:val="18"/>
                <w:szCs w:val="18"/>
              </w:rPr>
              <w:t xml:space="preserve">• Dimension + one-line insight</w:t>
            </w:r>
          </w:p>
          <w:p>
            <w:pPr>
              <w:spacing w:before="40" w:after="40"/>
            </w:pPr>
            <w:r>
              <w:rPr>
                <w:rFonts w:ascii="Arial" w:cs="Arial" w:eastAsia="Arial" w:hAnsi="Arial"/>
                <w:color w:val="555555"/>
                <w:sz w:val="18"/>
                <w:szCs w:val="18"/>
              </w:rPr>
              <w:t xml:space="preserve">• Action arrows</w:t>
            </w:r>
          </w:p>
          <w:p>
            <w:pPr>
              <w:spacing w:before="40" w:after="40"/>
            </w:pPr>
            <w:r>
              <w:rPr>
                <w:rFonts w:ascii="Arial" w:cs="Arial" w:eastAsia="Arial" w:hAnsi="Arial"/>
                <w:color w:val="555555"/>
                <w:sz w:val="18"/>
                <w:szCs w:val="18"/>
              </w:rPr>
              <w:t xml:space="preserve">WHAT LOSES MEETINGS:</w:t>
            </w:r>
          </w:p>
          <w:p>
            <w:pPr>
              <w:spacing w:before="40" w:after="40"/>
            </w:pPr>
            <w:r>
              <w:rPr>
                <w:rFonts w:ascii="Arial" w:cs="Arial" w:eastAsia="Arial" w:hAnsi="Arial"/>
                <w:color w:val="555555"/>
                <w:sz w:val="18"/>
                <w:szCs w:val="18"/>
              </w:rPr>
              <w:t xml:space="preserve">• Dimension + competitor frame</w:t>
            </w:r>
          </w:p>
          <w:p>
            <w:pPr>
              <w:spacing w:before="40" w:after="40"/>
            </w:pPr>
            <w:r>
              <w:rPr>
                <w:rFonts w:ascii="Arial" w:cs="Arial" w:eastAsia="Arial" w:hAnsi="Arial"/>
                <w:color w:val="555555"/>
                <w:sz w:val="18"/>
                <w:szCs w:val="18"/>
              </w:rPr>
              <w:t xml:space="preserve">• Behavioral consequence</w:t>
            </w:r>
          </w:p>
          <w:p>
            <w:pPr>
              <w:spacing w:before="40" w:after="40"/>
            </w:pPr>
            <w:r>
              <w:rPr>
                <w:rFonts w:ascii="Arial" w:cs="Arial" w:eastAsia="Arial" w:hAnsi="Arial"/>
                <w:color w:val="555555"/>
                <w:sz w:val="18"/>
                <w:szCs w:val="18"/>
              </w:rPr>
              <w:t xml:space="preserve">THIS IS THE CHEAT SHEET</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Per-dimension expansion:</w:t>
            </w:r>
          </w:p>
          <w:p>
            <w:pPr>
              <w:spacing w:before="40" w:after="40"/>
            </w:pPr>
            <w:r>
              <w:rPr>
                <w:rFonts w:ascii="Arial" w:cs="Arial" w:eastAsia="Arial" w:hAnsi="Arial"/>
                <w:color w:val="555555"/>
                <w:sz w:val="18"/>
                <w:szCs w:val="18"/>
              </w:rPr>
              <w:t xml:space="preserve">• Detailed competitor behavior</w:t>
            </w:r>
          </w:p>
          <w:p>
            <w:pPr>
              <w:spacing w:before="40" w:after="40"/>
            </w:pPr>
            <w:r>
              <w:rPr>
                <w:rFonts w:ascii="Arial" w:cs="Arial" w:eastAsia="Arial" w:hAnsi="Arial"/>
                <w:color w:val="555555"/>
                <w:sz w:val="18"/>
                <w:szCs w:val="18"/>
              </w:rPr>
              <w:t xml:space="preserve">• What prospects actually</w:t>
            </w:r>
          </w:p>
          <w:p>
            <w:pPr>
              <w:spacing w:before="40" w:after="40"/>
            </w:pPr>
            <w:r>
              <w:rPr>
                <w:rFonts w:ascii="Arial" w:cs="Arial" w:eastAsia="Arial" w:hAnsi="Arial"/>
                <w:color w:val="555555"/>
                <w:sz w:val="18"/>
                <w:szCs w:val="18"/>
              </w:rPr>
              <w:t xml:space="preserve">  compare when choosing</w:t>
            </w:r>
          </w:p>
          <w:p>
            <w:pPr>
              <w:spacing w:before="40" w:after="40"/>
            </w:pPr>
            <w:r>
              <w:rPr>
                <w:rFonts w:ascii="Arial" w:cs="Arial" w:eastAsia="Arial" w:hAnsi="Arial"/>
                <w:color w:val="555555"/>
                <w:sz w:val="18"/>
                <w:szCs w:val="18"/>
              </w:rPr>
              <w:t xml:space="preserve">• Specific Moenio observations</w:t>
            </w:r>
          </w:p>
          <w:p>
            <w:pPr>
              <w:spacing w:before="40" w:after="40"/>
            </w:pPr>
            <w:r>
              <w:rPr>
                <w:rFonts w:ascii="Arial" w:cs="Arial" w:eastAsia="Arial" w:hAnsi="Arial"/>
                <w:color w:val="555555"/>
                <w:sz w:val="18"/>
                <w:szCs w:val="18"/>
              </w:rPr>
              <w:t xml:space="preserve">• Suggested language changes</w:t>
            </w:r>
          </w:p>
        </w:tc>
      </w:tr>
    </w:tbl>
    <w:p>
      <w:pPr>
        <w:spacing w:before="40" w:after="40"/>
      </w:pPr>
    </w:p>
    <w:p>
      <w:pPr>
        <w:spacing w:before="60" w:after="60"/>
      </w:pPr>
      <w:r>
        <w:rPr>
          <w:rFonts w:ascii="Arial" w:cs="Arial" w:eastAsia="Arial" w:hAnsi="Arial"/>
          <w:b/>
          <w:bCs/>
          <w:color w:val="C9963B"/>
          <w:sz w:val="20"/>
          <w:szCs w:val="20"/>
        </w:rPr>
        <w:t xml:space="preserve">Peak-end positioning: </w:t>
      </w:r>
      <w:r>
        <w:rPr>
          <w:rFonts w:ascii="Arial" w:cs="Arial" w:eastAsia="Arial" w:hAnsi="Arial"/>
          <w:color w:val="555555"/>
          <w:sz w:val="20"/>
          <w:szCs w:val="20"/>
        </w:rPr>
        <w:t xml:space="preserve">This is the first component after the threshold and the highest-impact Moenio element. Kahneman’s peak-end rule predicts this will serve as the emotional peak of the page. The same dimensions the advisor just saw as scores ("Value Quantification: 58%") are now reframed as behavioral reality ("Can’t answer: What am I getting for $30K/year? Competitors show $ outcomes; you list services."). The contrast between Part 1 data and Part 2 reframing IS the threshold moment — the shift from numbers to meaning.</w:t>
      </w:r>
    </w:p>
    <w:p>
      <w:pPr>
        <w:spacing w:before="40" w:after="40"/>
      </w:pPr>
    </w:p>
    <w:p>
      <w:pPr>
        <w:spacing w:before="60" w:after="60"/>
      </w:pPr>
      <w:r>
        <w:rPr>
          <w:rFonts w:ascii="Arial" w:cs="Arial" w:eastAsia="Arial" w:hAnsi="Arial"/>
          <w:b/>
          <w:bCs/>
          <w:color w:val="333333"/>
          <w:sz w:val="20"/>
          <w:szCs w:val="20"/>
        </w:rPr>
        <w:t xml:space="preserve">Michela’s copy already strong: </w:t>
      </w:r>
      <w:r>
        <w:rPr>
          <w:rFonts w:ascii="Arial" w:cs="Arial" w:eastAsia="Arial" w:hAnsi="Arial"/>
          <w:color w:val="555555"/>
          <w:sz w:val="20"/>
          <w:szCs w:val="20"/>
        </w:rPr>
        <w:t xml:space="preserve">"Families understand your approach in 10 minutes" and "Can’t answer: What am I getting for $30K/year?" are already advisor-centric. EDR layer adds the connective tissue — Exposition explaining why these behavioral observations matter, Diagnosis connecting them to business outcomes, Recommendation pointing to specific actions.</w:t>
      </w:r>
    </w:p>
    <w:p>
      <w:pPr>
        <w:spacing w:before="80" w:after="80"/>
      </w:pPr>
    </w:p>
    <w:p>
      <w:pPr>
        <w:pStyle w:val="Heading3"/>
      </w:pPr>
      <w:r>
        <w:t xml:space="preserve">8. What Top 5% Do Differently</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Expandable categories with bullet points, gap callouts</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Category names visible. All detail collapsed.</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Click any category to expand bullet points and gap analysis. Multiple expandable.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Not reached by 10-sec scan</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Category names visible:</w:t>
            </w:r>
          </w:p>
          <w:p>
            <w:pPr>
              <w:spacing w:before="40" w:after="40"/>
            </w:pPr>
            <w:r>
              <w:rPr>
                <w:rFonts w:ascii="Arial" w:cs="Arial" w:eastAsia="Arial" w:hAnsi="Arial"/>
                <w:color w:val="555555"/>
                <w:sz w:val="18"/>
                <w:szCs w:val="18"/>
              </w:rPr>
              <w:t xml:space="preserve">• Comprehensive Visual</w:t>
            </w:r>
          </w:p>
          <w:p>
            <w:pPr>
              <w:spacing w:before="40" w:after="40"/>
            </w:pPr>
            <w:r>
              <w:rPr>
                <w:rFonts w:ascii="Arial" w:cs="Arial" w:eastAsia="Arial" w:hAnsi="Arial"/>
                <w:color w:val="555555"/>
                <w:sz w:val="18"/>
                <w:szCs w:val="18"/>
              </w:rPr>
              <w:t xml:space="preserve">  Documentation</w:t>
            </w:r>
          </w:p>
          <w:p>
            <w:pPr>
              <w:spacing w:before="40" w:after="40"/>
            </w:pPr>
            <w:r>
              <w:rPr>
                <w:rFonts w:ascii="Arial" w:cs="Arial" w:eastAsia="Arial" w:hAnsi="Arial"/>
                <w:color w:val="555555"/>
                <w:sz w:val="18"/>
                <w:szCs w:val="18"/>
              </w:rPr>
              <w:t xml:space="preserve">• Transparency Systems</w:t>
            </w:r>
          </w:p>
          <w:p>
            <w:pPr>
              <w:spacing w:before="40" w:after="40"/>
            </w:pPr>
            <w:r>
              <w:rPr>
                <w:rFonts w:ascii="Arial" w:cs="Arial" w:eastAsia="Arial" w:hAnsi="Arial"/>
                <w:color w:val="555555"/>
                <w:sz w:val="18"/>
                <w:szCs w:val="18"/>
              </w:rPr>
              <w:t xml:space="preserve">• Proactive Fee</w:t>
            </w:r>
          </w:p>
          <w:p>
            <w:pPr>
              <w:spacing w:before="40" w:after="40"/>
            </w:pPr>
            <w:r>
              <w:rPr>
                <w:rFonts w:ascii="Arial" w:cs="Arial" w:eastAsia="Arial" w:hAnsi="Arial"/>
                <w:color w:val="555555"/>
                <w:sz w:val="18"/>
                <w:szCs w:val="18"/>
              </w:rPr>
              <w:t xml:space="preserve">  Communication</w:t>
            </w:r>
          </w:p>
          <w:p>
            <w:pPr>
              <w:spacing w:before="40" w:after="40"/>
            </w:pPr>
            <w:r>
              <w:rPr>
                <w:rFonts w:ascii="Arial" w:cs="Arial" w:eastAsia="Arial" w:hAnsi="Arial"/>
                <w:color w:val="555555"/>
                <w:sz w:val="18"/>
                <w:szCs w:val="18"/>
              </w:rPr>
              <w:t xml:space="preserve">(Names only, no detail)</w:t>
            </w:r>
          </w:p>
          <w:p>
            <w:pPr>
              <w:spacing w:before="40" w:after="40"/>
            </w:pPr>
            <w:r>
              <w:rPr>
                <w:rFonts w:ascii="Arial" w:cs="Arial" w:eastAsia="Arial" w:hAnsi="Arial"/>
                <w:color w:val="555555"/>
                <w:sz w:val="18"/>
                <w:szCs w:val="18"/>
              </w:rPr>
              <w:t xml:space="preserve">Gap callout summary line</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Click any category:</w:t>
            </w:r>
          </w:p>
          <w:p>
            <w:pPr>
              <w:spacing w:before="40" w:after="40"/>
            </w:pPr>
            <w:r>
              <w:rPr>
                <w:rFonts w:ascii="Arial" w:cs="Arial" w:eastAsia="Arial" w:hAnsi="Arial"/>
                <w:color w:val="555555"/>
                <w:sz w:val="18"/>
                <w:szCs w:val="18"/>
              </w:rPr>
              <w:t xml:space="preserve">• Specific behaviors listed</w:t>
            </w:r>
          </w:p>
          <w:p>
            <w:pPr>
              <w:spacing w:before="40" w:after="40"/>
            </w:pPr>
            <w:r>
              <w:rPr>
                <w:rFonts w:ascii="Arial" w:cs="Arial" w:eastAsia="Arial" w:hAnsi="Arial"/>
                <w:color w:val="555555"/>
                <w:sz w:val="18"/>
                <w:szCs w:val="18"/>
              </w:rPr>
              <w:t xml:space="preserve">• How top performers execute</w:t>
            </w:r>
          </w:p>
          <w:p>
            <w:pPr>
              <w:spacing w:before="40" w:after="40"/>
            </w:pPr>
            <w:r>
              <w:rPr>
                <w:rFonts w:ascii="Arial" w:cs="Arial" w:eastAsia="Arial" w:hAnsi="Arial"/>
                <w:color w:val="555555"/>
                <w:sz w:val="18"/>
                <w:szCs w:val="18"/>
              </w:rPr>
              <w:t xml:space="preserve">• Gap callout per category:</w:t>
            </w:r>
          </w:p>
          <w:p>
            <w:pPr>
              <w:spacing w:before="40" w:after="40"/>
            </w:pPr>
            <w:r>
              <w:rPr>
                <w:rFonts w:ascii="Arial" w:cs="Arial" w:eastAsia="Arial" w:hAnsi="Arial"/>
                <w:color w:val="555555"/>
                <w:sz w:val="18"/>
                <w:szCs w:val="18"/>
              </w:rPr>
              <w:t xml:space="preserve">  what you do vs. what they do</w:t>
            </w:r>
          </w:p>
          <w:p>
            <w:pPr>
              <w:spacing w:before="40" w:after="40"/>
            </w:pPr>
            <w:r>
              <w:rPr>
                <w:rFonts w:ascii="Arial" w:cs="Arial" w:eastAsia="Arial" w:hAnsi="Arial"/>
                <w:color w:val="555555"/>
                <w:sz w:val="18"/>
                <w:szCs w:val="18"/>
              </w:rPr>
              <w:t xml:space="preserve">• Moenio observational detail:</w:t>
            </w:r>
          </w:p>
          <w:p>
            <w:pPr>
              <w:spacing w:before="40" w:after="40"/>
            </w:pPr>
            <w:r>
              <w:rPr>
                <w:rFonts w:ascii="Arial" w:cs="Arial" w:eastAsia="Arial" w:hAnsi="Arial"/>
                <w:color w:val="555555"/>
                <w:sz w:val="18"/>
                <w:szCs w:val="18"/>
              </w:rPr>
              <w:t xml:space="preserve">  what this looks like in</w:t>
            </w:r>
          </w:p>
          <w:p>
            <w:pPr>
              <w:spacing w:before="40" w:after="40"/>
            </w:pPr>
            <w:r>
              <w:rPr>
                <w:rFonts w:ascii="Arial" w:cs="Arial" w:eastAsia="Arial" w:hAnsi="Arial"/>
                <w:color w:val="555555"/>
                <w:sz w:val="18"/>
                <w:szCs w:val="18"/>
              </w:rPr>
              <w:t xml:space="preserve">  actual client meetings</w:t>
            </w:r>
          </w:p>
        </w:tc>
      </w:tr>
    </w:tbl>
    <w:p>
      <w:pPr>
        <w:spacing w:before="40" w:after="40"/>
      </w:pPr>
    </w:p>
    <w:p>
      <w:pPr>
        <w:spacing w:before="60" w:after="60"/>
      </w:pPr>
      <w:r>
        <w:rPr>
          <w:rFonts w:ascii="Arial" w:cs="Arial" w:eastAsia="Arial" w:hAnsi="Arial"/>
          <w:b/>
          <w:bCs/>
          <w:color w:val="2E8B8B"/>
          <w:sz w:val="20"/>
          <w:szCs w:val="20"/>
        </w:rPr>
        <w:t xml:space="preserve">Three-speed in microcosm: </w:t>
      </w:r>
      <w:r>
        <w:rPr>
          <w:rFonts w:ascii="Arial" w:cs="Arial" w:eastAsia="Arial" w:hAnsi="Arial"/>
          <w:color w:val="555555"/>
          <w:sz w:val="20"/>
          <w:szCs w:val="20"/>
        </w:rPr>
        <w:t xml:space="preserve">This single component demonstrates all three speeds within itself. 10-second: doesn’t reach it. 2-minute: reads category names and absorbs the landscape ("oh, top performers document visually, are transparent, and proactively discuss fees"). Deep dive: expands to learn exactly how. This is the standout Michela element — the natural home for Moenio’s observational intelligence as a cheat sheet that creates the experience of accessing exclusive peer knowledge.</w:t>
      </w:r>
    </w:p>
    <w:p>
      <w:pPr>
        <w:spacing w:before="80" w:after="80"/>
      </w:pPr>
    </w:p>
    <w:p>
      <w:pPr>
        <w:pStyle w:val="Heading3"/>
      </w:pPr>
      <w:r>
        <w:t xml:space="preserve">9. Improvement Roadmap</w:t>
      </w:r>
    </w:p>
    <w:p>
      <w:pPr>
        <w:spacing w:before="40" w:after="40"/>
      </w:pPr>
      <w:r>
        <w:rPr>
          <w:rFonts w:ascii="Arial" w:cs="Arial" w:eastAsia="Arial" w:hAnsi="Arial"/>
          <w:b/>
          <w:bCs/>
          <w:color w:val="333333"/>
          <w:sz w:val="20"/>
          <w:szCs w:val="20"/>
        </w:rPr>
        <w:t xml:space="preserve">Michela Source: </w:t>
      </w:r>
      <w:r>
        <w:rPr>
          <w:rFonts w:ascii="Arial" w:cs="Arial" w:eastAsia="Arial" w:hAnsi="Arial"/>
          <w:color w:val="555555"/>
          <w:sz w:val="20"/>
          <w:szCs w:val="20"/>
        </w:rPr>
        <w:t xml:space="preserve">"Critical Path for Module Improvement" with priority cards, arrows, timelines, impact tags, CTAs</w:t>
      </w:r>
    </w:p>
    <w:p>
      <w:pPr>
        <w:spacing w:before="40" w:after="40"/>
      </w:pPr>
      <w:r>
        <w:rPr>
          <w:rFonts w:ascii="Arial" w:cs="Arial" w:eastAsia="Arial" w:hAnsi="Arial"/>
          <w:b/>
          <w:bCs/>
          <w:color w:val="333333"/>
          <w:sz w:val="20"/>
          <w:szCs w:val="20"/>
        </w:rPr>
        <w:t xml:space="preserve">Default State: </w:t>
      </w:r>
      <w:r>
        <w:rPr>
          <w:rFonts w:ascii="Arial" w:cs="Arial" w:eastAsia="Arial" w:hAnsi="Arial"/>
          <w:color w:val="555555"/>
          <w:sz w:val="20"/>
          <w:szCs w:val="20"/>
        </w:rPr>
        <w:t xml:space="preserve">Priority names + impact tags + timelines visible. Action items collapsed.</w:t>
      </w:r>
    </w:p>
    <w:p>
      <w:pPr>
        <w:spacing w:before="40" w:after="40"/>
      </w:pPr>
      <w:r>
        <w:rPr>
          <w:rFonts w:ascii="Arial" w:cs="Arial" w:eastAsia="Arial" w:hAnsi="Arial"/>
          <w:b/>
          <w:bCs/>
          <w:color w:val="333333"/>
          <w:sz w:val="20"/>
          <w:szCs w:val="20"/>
        </w:rPr>
        <w:t xml:space="preserve">Interaction Model: </w:t>
      </w:r>
      <w:r>
        <w:rPr>
          <w:rFonts w:ascii="Arial" w:cs="Arial" w:eastAsia="Arial" w:hAnsi="Arial"/>
          <w:color w:val="555555"/>
          <w:sz w:val="20"/>
          <w:szCs w:val="20"/>
        </w:rPr>
        <w:t xml:space="preserve">Click any priority card to expand full action items and CTAs.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10-Second Scan</w:t>
            </w:r>
          </w:p>
        </w:tc>
        <w:tc>
          <w:tcPr>
            <w:tcW w:type="dxa" w:w="3120"/>
            <w:tcBorders>
              <w:top w:val="single" w:color="DDDDDD" w:sz="1"/>
              <w:left w:val="single" w:color="DDDDDD" w:sz="1"/>
              <w:bottom w:val="single" w:color="DDDDDD" w:sz="1"/>
              <w:right w:val="single" w:color="DDDDDD"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2-Minute Read</w:t>
            </w:r>
          </w:p>
        </w:tc>
        <w:tc>
          <w:tcPr>
            <w:tcW w:type="dxa" w:w="312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 Dive</w:t>
            </w:r>
          </w:p>
        </w:tc>
      </w:tr>
      <w:tr>
        <w:tc>
          <w:tcPr>
            <w:tcW w:type="dxa" w:w="3120"/>
            <w:tcBorders>
              <w:top w:val="single" w:color="DDDDDD" w:sz="1"/>
              <w:left w:val="single" w:color="DDDDDD" w:sz="1"/>
              <w:bottom w:val="single" w:color="DDDDDD" w:sz="1"/>
              <w:right w:val="single" w:color="DDDDDD" w:sz="1"/>
            </w:tcBorders>
            <w:shd w:fill="F8F9FB"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Not reached by 10-sec scan</w:t>
            </w:r>
          </w:p>
        </w:tc>
        <w:tc>
          <w:tcPr>
            <w:tcW w:type="dxa" w:w="3120"/>
            <w:tcBorders>
              <w:top w:val="single" w:color="DDDDDD" w:sz="1"/>
              <w:left w:val="single" w:color="DDDDDD" w:sz="1"/>
              <w:bottom w:val="single" w:color="DDDDDD" w:sz="1"/>
              <w:right w:val="single" w:color="DDDDDD" w:sz="1"/>
            </w:tcBorders>
            <w:shd w:fill="F0F7F7"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Priority flow visible:</w:t>
            </w:r>
          </w:p>
          <w:p>
            <w:pPr>
              <w:spacing w:before="40" w:after="40"/>
            </w:pPr>
            <w:r>
              <w:rPr>
                <w:rFonts w:ascii="Arial" w:cs="Arial" w:eastAsia="Arial" w:hAnsi="Arial"/>
                <w:color w:val="555555"/>
                <w:sz w:val="18"/>
                <w:szCs w:val="18"/>
              </w:rPr>
              <w:t xml:space="preserve">• Priority name</w:t>
            </w:r>
          </w:p>
          <w:p>
            <w:pPr>
              <w:spacing w:before="40" w:after="40"/>
            </w:pPr>
            <w:r>
              <w:rPr>
                <w:rFonts w:ascii="Arial" w:cs="Arial" w:eastAsia="Arial" w:hAnsi="Arial"/>
                <w:color w:val="555555"/>
                <w:sz w:val="18"/>
                <w:szCs w:val="18"/>
              </w:rPr>
              <w:t xml:space="preserve">• Impact tag (Win/Retain/Refer)</w:t>
            </w:r>
          </w:p>
          <w:p>
            <w:pPr>
              <w:spacing w:before="40" w:after="40"/>
            </w:pPr>
            <w:r>
              <w:rPr>
                <w:rFonts w:ascii="Arial" w:cs="Arial" w:eastAsia="Arial" w:hAnsi="Arial"/>
                <w:color w:val="555555"/>
                <w:sz w:val="18"/>
                <w:szCs w:val="18"/>
              </w:rPr>
              <w:t xml:space="preserve">• Time to Impact estimate</w:t>
            </w:r>
          </w:p>
          <w:p>
            <w:pPr>
              <w:spacing w:before="40" w:after="40"/>
            </w:pPr>
            <w:r>
              <w:rPr>
                <w:rFonts w:ascii="Arial" w:cs="Arial" w:eastAsia="Arial" w:hAnsi="Arial"/>
                <w:color w:val="555555"/>
                <w:sz w:val="18"/>
                <w:szCs w:val="18"/>
              </w:rPr>
              <w:t xml:space="preserve">• Connected arrow flow shows</w:t>
            </w:r>
          </w:p>
          <w:p>
            <w:pPr>
              <w:spacing w:before="40" w:after="40"/>
            </w:pPr>
            <w:r>
              <w:rPr>
                <w:rFonts w:ascii="Arial" w:cs="Arial" w:eastAsia="Arial" w:hAnsi="Arial"/>
                <w:color w:val="555555"/>
                <w:sz w:val="18"/>
                <w:szCs w:val="18"/>
              </w:rPr>
              <w:t xml:space="preserve">  sequence</w:t>
            </w:r>
          </w:p>
          <w:p>
            <w:pPr>
              <w:spacing w:before="40" w:after="40"/>
            </w:pPr>
            <w:r>
              <w:rPr>
                <w:rFonts w:ascii="Arial" w:cs="Arial" w:eastAsia="Arial" w:hAnsi="Arial"/>
                <w:color w:val="555555"/>
                <w:sz w:val="18"/>
                <w:szCs w:val="18"/>
              </w:rPr>
              <w:t xml:space="preserve">(Action items collapsed)</w:t>
            </w:r>
          </w:p>
        </w:tc>
        <w:tc>
          <w:tcPr>
            <w:tcW w:type="dxa" w:w="312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before="40" w:after="40"/>
            </w:pPr>
            <w:r>
              <w:rPr>
                <w:rFonts w:ascii="Arial" w:cs="Arial" w:eastAsia="Arial" w:hAnsi="Arial"/>
                <w:color w:val="555555"/>
                <w:sz w:val="18"/>
                <w:szCs w:val="18"/>
              </w:rPr>
              <w:t xml:space="preserve">Click any priority card:</w:t>
            </w:r>
          </w:p>
          <w:p>
            <w:pPr>
              <w:spacing w:before="40" w:after="40"/>
            </w:pPr>
            <w:r>
              <w:rPr>
                <w:rFonts w:ascii="Arial" w:cs="Arial" w:eastAsia="Arial" w:hAnsi="Arial"/>
                <w:color w:val="555555"/>
                <w:sz w:val="18"/>
                <w:szCs w:val="18"/>
              </w:rPr>
              <w:t xml:space="preserve">• Specific action items</w:t>
            </w:r>
          </w:p>
          <w:p>
            <w:pPr>
              <w:spacing w:before="40" w:after="40"/>
            </w:pPr>
            <w:r>
              <w:rPr>
                <w:rFonts w:ascii="Arial" w:cs="Arial" w:eastAsia="Arial" w:hAnsi="Arial"/>
                <w:color w:val="555555"/>
                <w:sz w:val="18"/>
                <w:szCs w:val="18"/>
              </w:rPr>
              <w:t xml:space="preserve">• Why this matters (EDR)</w:t>
            </w:r>
          </w:p>
          <w:p>
            <w:pPr>
              <w:spacing w:before="40" w:after="40"/>
            </w:pPr>
            <w:r>
              <w:rPr>
                <w:rFonts w:ascii="Arial" w:cs="Arial" w:eastAsia="Arial" w:hAnsi="Arial"/>
                <w:color w:val="555555"/>
                <w:sz w:val="18"/>
                <w:szCs w:val="18"/>
              </w:rPr>
              <w:t xml:space="preserve">• Connection to module score</w:t>
            </w:r>
          </w:p>
          <w:p>
            <w:pPr>
              <w:spacing w:before="40" w:after="40"/>
            </w:pPr>
            <w:r>
              <w:rPr>
                <w:rFonts w:ascii="Arial" w:cs="Arial" w:eastAsia="Arial" w:hAnsi="Arial"/>
                <w:color w:val="555555"/>
                <w:sz w:val="18"/>
                <w:szCs w:val="18"/>
              </w:rPr>
              <w:t xml:space="preserve">• "Begin Assessment" CTA</w:t>
            </w:r>
          </w:p>
          <w:p>
            <w:pPr>
              <w:spacing w:before="40" w:after="40"/>
            </w:pPr>
            <w:r>
              <w:rPr>
                <w:rFonts w:ascii="Arial" w:cs="Arial" w:eastAsia="Arial" w:hAnsi="Arial"/>
                <w:color w:val="555555"/>
                <w:sz w:val="18"/>
                <w:szCs w:val="18"/>
              </w:rPr>
              <w:t xml:space="preserve">• Coaching preparation notes</w:t>
            </w:r>
          </w:p>
        </w:tc>
      </w:tr>
    </w:tbl>
    <w:p>
      <w:pPr>
        <w:spacing w:before="40" w:after="40"/>
      </w:pPr>
    </w:p>
    <w:p>
      <w:pPr>
        <w:spacing w:before="60" w:after="60"/>
      </w:pPr>
      <w:r>
        <w:rPr>
          <w:rFonts w:ascii="Arial" w:cs="Arial" w:eastAsia="Arial" w:hAnsi="Arial"/>
          <w:b/>
          <w:bCs/>
          <w:color w:val="C9963B"/>
          <w:sz w:val="20"/>
          <w:szCs w:val="20"/>
        </w:rPr>
        <w:t xml:space="preserve">End-of-page psychology: </w:t>
      </w:r>
      <w:r>
        <w:rPr>
          <w:rFonts w:ascii="Arial" w:cs="Arial" w:eastAsia="Arial" w:hAnsi="Arial"/>
          <w:color w:val="555555"/>
          <w:sz w:val="20"/>
          <w:szCs w:val="20"/>
        </w:rPr>
        <w:t xml:space="preserve">This is the final component — the "end" in peak-end. Per our Option A decision, it must feel like a path forward, not homework. The flow/sequence layout with connecting arrows (from Michela’s design) creates a literal journey the advisor can follow. Impact tags (Win/Retain/Refer) link actions back to real business outcomes, maintaining the Moenio voice. The advisor’s last impression: "I know exactly what to do and why."</w:t>
      </w:r>
    </w:p>
    <w:p>
      <w:pPr>
        <w:spacing w:before="40" w:after="40"/>
      </w:pPr>
    </w:p>
    <w:p>
      <w:pPr>
        <w:spacing w:before="60" w:after="60"/>
      </w:pPr>
      <w:r>
        <w:rPr>
          <w:rFonts w:ascii="Arial" w:cs="Arial" w:eastAsia="Arial" w:hAnsi="Arial"/>
          <w:b/>
          <w:bCs/>
          <w:color w:val="333333"/>
          <w:sz w:val="20"/>
          <w:szCs w:val="20"/>
        </w:rPr>
        <w:t xml:space="preserve">EDR gap: </w:t>
      </w:r>
      <w:r>
        <w:rPr>
          <w:rFonts w:ascii="Arial" w:cs="Arial" w:eastAsia="Arial" w:hAnsi="Arial"/>
          <w:color w:val="555555"/>
          <w:sz w:val="20"/>
          <w:szCs w:val="20"/>
        </w:rPr>
        <w:t xml:space="preserve">Michela’s design shows action items but no "why this matters" framing. The EDR copy layer adds Recommendation context: "Improving fee transparency reduces the #1 reason prospects choose your competitor" connects the action to a business consequence the advisor can feel.</w:t>
      </w:r>
    </w:p>
    <w:p>
      <w:r>
        <w:br w:type="page"/>
      </w:r>
    </w:p>
    <w:p>
      <w:pPr>
        <w:pStyle w:val="Heading1"/>
      </w:pPr>
      <w:r>
        <w:t xml:space="preserve">4. Interaction State Map</w:t>
      </w:r>
    </w:p>
    <w:p>
      <w:pPr>
        <w:spacing w:before="60" w:after="60"/>
      </w:pPr>
      <w:r>
        <w:rPr>
          <w:rFonts w:ascii="Arial" w:cs="Arial" w:eastAsia="Arial" w:hAnsi="Arial"/>
          <w:b w:val="false"/>
          <w:bCs w:val="false"/>
          <w:i w:val="false"/>
          <w:iCs w:val="false"/>
          <w:color w:val="555555"/>
          <w:sz w:val="20"/>
          <w:szCs w:val="20"/>
        </w:rPr>
        <w:t xml:space="preserve">Summary of every component’s default state and what triggers its expansion. This is the specification Michela needs for design execution.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r>
              <w:rPr>
                <w:rFonts w:ascii="Arial" w:cs="Arial" w:eastAsia="Arial" w:hAnsi="Arial"/>
                <w:b/>
                <w:bCs/>
                <w:color w:val="FFFFFF"/>
                <w:sz w:val="16"/>
                <w:szCs w:val="16"/>
              </w:rPr>
              <w:t xml:space="preserve">Component</w:t>
            </w:r>
          </w:p>
        </w:tc>
        <w:tc>
          <w:tcPr>
            <w:tcW w:type="dxa" w:w="1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Default</w:t>
            </w:r>
          </w:p>
        </w:tc>
        <w:tc>
          <w:tcPr>
            <w:tcW w:type="dxa" w:w="1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Expandable?</w:t>
            </w:r>
          </w:p>
        </w:tc>
        <w:tc>
          <w:tcPr>
            <w:tcW w:type="dxa" w:w="31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r>
              <w:rPr>
                <w:rFonts w:ascii="Arial" w:cs="Arial" w:eastAsia="Arial" w:hAnsi="Arial"/>
                <w:b/>
                <w:bCs/>
                <w:color w:val="FFFFFF"/>
                <w:sz w:val="16"/>
                <w:szCs w:val="16"/>
              </w:rPr>
              <w:t xml:space="preserve">Expansion Trigger</w:t>
            </w:r>
          </w:p>
        </w:tc>
      </w:tr>
      <w:tr>
        <w:tc>
          <w:tcPr>
            <w:tcW w:type="dxa" w:w="26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left"/>
            </w:pPr>
            <w:r>
              <w:rPr>
                <w:rFonts w:ascii="Arial" w:cs="Arial" w:eastAsia="Arial" w:hAnsi="Arial"/>
                <w:b/>
                <w:bCs/>
                <w:color w:val="333333"/>
                <w:sz w:val="16"/>
                <w:szCs w:val="16"/>
              </w:rPr>
              <w:t xml:space="preserve">Page Header</w:t>
            </w:r>
          </w:p>
        </w:tc>
        <w:tc>
          <w:tcPr>
            <w:tcW w:type="dxa" w:w="1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Open</w:t>
            </w:r>
          </w:p>
        </w:tc>
        <w:tc>
          <w:tcPr>
            <w:tcW w:type="dxa" w:w="1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No</w:t>
            </w:r>
          </w:p>
        </w:tc>
        <w:tc>
          <w:tcPr>
            <w:tcW w:type="dxa" w:w="31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6"/>
                <w:szCs w:val="16"/>
              </w:rPr>
              <w:t xml:space="preserve">Overview Panel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Open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No</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w:t>
            </w:r>
          </w:p>
        </w:tc>
      </w:tr>
      <w:tr>
        <w:tc>
          <w:tcPr>
            <w:tcW w:type="dxa" w:w="26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left"/>
            </w:pPr>
            <w:r>
              <w:rPr>
                <w:rFonts w:ascii="Arial" w:cs="Arial" w:eastAsia="Arial" w:hAnsi="Arial"/>
                <w:b/>
                <w:bCs/>
                <w:color w:val="333333"/>
                <w:sz w:val="16"/>
                <w:szCs w:val="16"/>
              </w:rPr>
              <w:t xml:space="preserve">Percentile Ranking</w:t>
            </w:r>
          </w:p>
        </w:tc>
        <w:tc>
          <w:tcPr>
            <w:tcW w:type="dxa" w:w="1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Open</w:t>
            </w:r>
          </w:p>
        </w:tc>
        <w:tc>
          <w:tcPr>
            <w:tcW w:type="dxa" w:w="1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No</w:t>
            </w:r>
          </w:p>
        </w:tc>
        <w:tc>
          <w:tcPr>
            <w:tcW w:type="dxa" w:w="31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6"/>
                <w:szCs w:val="16"/>
              </w:rPr>
              <w:t xml:space="preserve">Insight Areas (Dots)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Dots only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Yes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Click dot or area name</w:t>
            </w:r>
          </w:p>
        </w:tc>
      </w:tr>
      <w:tr>
        <w:tc>
          <w:tcPr>
            <w:tcW w:type="dxa" w:w="26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left"/>
            </w:pPr>
            <w:r>
              <w:rPr>
                <w:rFonts w:ascii="Arial" w:cs="Arial" w:eastAsia="Arial" w:hAnsi="Arial"/>
                <w:b/>
                <w:bCs/>
                <w:color w:val="333333"/>
                <w:sz w:val="16"/>
                <w:szCs w:val="16"/>
              </w:rPr>
              <w:t xml:space="preserve">Data Point Scores</w:t>
            </w:r>
          </w:p>
        </w:tc>
        <w:tc>
          <w:tcPr>
            <w:tcW w:type="dxa" w:w="1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Collapsed</w:t>
            </w:r>
          </w:p>
        </w:tc>
        <w:tc>
          <w:tcPr>
            <w:tcW w:type="dxa" w:w="18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Yes</w:t>
            </w:r>
          </w:p>
        </w:tc>
        <w:tc>
          <w:tcPr>
            <w:tcW w:type="dxa" w:w="31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Click section header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6"/>
                <w:szCs w:val="16"/>
              </w:rPr>
              <w:t xml:space="preserve">Comp. Position: Scores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Open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Partial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Deep dive per dimension</w:t>
            </w:r>
          </w:p>
        </w:tc>
      </w:tr>
      <w:tr>
        <w:tc>
          <w:tcPr>
            <w:tcW w:type="dxa" w:w="260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pPr>
              <w:jc w:val="left"/>
            </w:pPr>
            <w:r>
              <w:rPr>
                <w:rFonts w:ascii="Arial" w:cs="Arial" w:eastAsia="Arial" w:hAnsi="Arial"/>
                <w:b/>
                <w:bCs/>
                <w:color w:val="FFFFFF"/>
                <w:sz w:val="16"/>
                <w:szCs w:val="16"/>
              </w:rPr>
              <w:t xml:space="preserve">THRESHOLD</w:t>
            </w:r>
          </w:p>
        </w:tc>
        <w:tc>
          <w:tcPr>
            <w:tcW w:type="dxa" w:w="180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80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3160"/>
            <w:tcBorders>
              <w:top w:val="single" w:color="DDDDDD" w:sz="1"/>
              <w:left w:val="single" w:color="DDDDDD" w:sz="1"/>
              <w:bottom w:val="single" w:color="DDDDDD" w:sz="1"/>
              <w:right w:val="single" w:color="DDDDDD" w:sz="1"/>
            </w:tcBorders>
            <w:shd w:fill="C9963B" w:val="clear"/>
            <w:tcMar>
              <w:top w:type="dxa" w:w="80"/>
              <w:left w:type="dxa" w:w="120"/>
              <w:bottom w:type="dxa" w:w="80"/>
              <w:right w:type="dxa" w:w="120"/>
            </w:tcMar>
          </w:tcPr>
          <w:p>
            <w:pPr>
              <w:jc w:val="left"/>
            </w:pPr>
            <w:r>
              <w:rPr>
                <w:rFonts w:ascii="Arial" w:cs="Arial" w:eastAsia="Arial" w:hAnsi="Arial"/>
                <w:b/>
                <w:bCs/>
                <w:color w:val="FFFFFF"/>
                <w:sz w:val="16"/>
                <w:szCs w:val="16"/>
              </w:rPr>
              <w:t xml:space="preserve">═══</w:t>
            </w:r>
          </w:p>
        </w:tc>
      </w:tr>
      <w:tr>
        <w:tc>
          <w:tcPr>
            <w:tcW w:type="dxa" w:w="26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left"/>
            </w:pPr>
            <w:r>
              <w:rPr>
                <w:rFonts w:ascii="Arial" w:cs="Arial" w:eastAsia="Arial" w:hAnsi="Arial"/>
                <w:b/>
                <w:bCs/>
                <w:color w:val="C9963B"/>
                <w:sz w:val="16"/>
                <w:szCs w:val="16"/>
              </w:rPr>
              <w:t xml:space="preserve">Comp. Position: Reframed</w:t>
            </w:r>
          </w:p>
        </w:tc>
        <w:tc>
          <w:tcPr>
            <w:tcW w:type="dxa" w:w="1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Open</w:t>
            </w:r>
          </w:p>
        </w:tc>
        <w:tc>
          <w:tcPr>
            <w:tcW w:type="dxa" w:w="1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Yes</w:t>
            </w:r>
          </w:p>
        </w:tc>
        <w:tc>
          <w:tcPr>
            <w:tcW w:type="dxa" w:w="31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Click dimension for detail</w:t>
            </w:r>
          </w:p>
        </w:tc>
      </w:tr>
      <w:tr>
        <w:tc>
          <w:tcPr>
            <w:tcW w:type="dxa" w:w="26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left"/>
            </w:pPr>
            <w:r>
              <w:rPr>
                <w:rFonts w:ascii="Arial" w:cs="Arial" w:eastAsia="Arial" w:hAnsi="Arial"/>
                <w:b/>
                <w:bCs/>
                <w:color w:val="C9963B"/>
                <w:sz w:val="16"/>
                <w:szCs w:val="16"/>
              </w:rPr>
              <w:t xml:space="preserve">Top 5% Differently</w:t>
            </w:r>
          </w:p>
        </w:tc>
        <w:tc>
          <w:tcPr>
            <w:tcW w:type="dxa" w:w="1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Names only</w:t>
            </w:r>
          </w:p>
        </w:tc>
        <w:tc>
          <w:tcPr>
            <w:tcW w:type="dxa" w:w="1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Yes</w:t>
            </w:r>
          </w:p>
        </w:tc>
        <w:tc>
          <w:tcPr>
            <w:tcW w:type="dxa" w:w="31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Click category to expand</w:t>
            </w:r>
          </w:p>
        </w:tc>
      </w:tr>
      <w:tr>
        <w:tc>
          <w:tcPr>
            <w:tcW w:type="dxa" w:w="26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left"/>
            </w:pPr>
            <w:r>
              <w:rPr>
                <w:rFonts w:ascii="Arial" w:cs="Arial" w:eastAsia="Arial" w:hAnsi="Arial"/>
                <w:b/>
                <w:bCs/>
                <w:color w:val="C9963B"/>
                <w:sz w:val="16"/>
                <w:szCs w:val="16"/>
              </w:rPr>
              <w:t xml:space="preserve">Improvement Roadmap</w:t>
            </w:r>
          </w:p>
        </w:tc>
        <w:tc>
          <w:tcPr>
            <w:tcW w:type="dxa" w:w="1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Flow visible</w:t>
            </w:r>
          </w:p>
        </w:tc>
        <w:tc>
          <w:tcPr>
            <w:tcW w:type="dxa" w:w="180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center"/>
            </w:pPr>
            <w:r>
              <w:rPr>
                <w:rFonts w:ascii="Arial" w:cs="Arial" w:eastAsia="Arial" w:hAnsi="Arial"/>
                <w:b w:val="false"/>
                <w:bCs w:val="false"/>
                <w:color w:val="333333"/>
                <w:sz w:val="16"/>
                <w:szCs w:val="16"/>
              </w:rPr>
              <w:t xml:space="preserve">Yes</w:t>
            </w:r>
          </w:p>
        </w:tc>
        <w:tc>
          <w:tcPr>
            <w:tcW w:type="dxa" w:w="3160"/>
            <w:tcBorders>
              <w:top w:val="single" w:color="DDDDDD" w:sz="1"/>
              <w:left w:val="single" w:color="DDDDDD" w:sz="1"/>
              <w:bottom w:val="single" w:color="DDDDDD" w:sz="1"/>
              <w:right w:val="single" w:color="DDDDDD" w:sz="1"/>
            </w:tcBorders>
            <w:shd w:fill="FDF8F0"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Click priority for actions</w:t>
            </w:r>
          </w:p>
        </w:tc>
      </w:tr>
    </w:tbl>
    <w:p>
      <w:pPr>
        <w:spacing w:before="200" w:after="200"/>
      </w:pPr>
    </w:p>
    <w:p>
      <w:pPr>
        <w:pStyle w:val="Heading1"/>
      </w:pPr>
      <w:r>
        <w:t xml:space="preserve">5. Viewport Analysis</w:t>
      </w:r>
    </w:p>
    <w:p>
      <w:pPr>
        <w:spacing w:before="60" w:after="60"/>
      </w:pPr>
      <w:r>
        <w:rPr>
          <w:rFonts w:ascii="Arial" w:cs="Arial" w:eastAsia="Arial" w:hAnsi="Arial"/>
          <w:b w:val="false"/>
          <w:bCs w:val="false"/>
          <w:i w:val="false"/>
          <w:iCs w:val="false"/>
          <w:color w:val="555555"/>
          <w:sz w:val="20"/>
          <w:szCs w:val="20"/>
        </w:rPr>
        <w:t xml:space="preserve">What the advisor sees at each scroll depth, mapped to reading speed behavior.</w:t>
      </w:r>
    </w:p>
    <w:p>
      <w:pPr>
        <w:spacing w:before="80" w:after="80"/>
      </w:pPr>
    </w:p>
    <w:p>
      <w:pPr>
        <w:spacing w:before="240" w:after="80"/>
      </w:pPr>
      <w:r>
        <w:rPr>
          <w:rFonts w:ascii="Arial" w:cs="Arial" w:eastAsia="Arial" w:hAnsi="Arial"/>
          <w:b/>
          <w:bCs/>
          <w:color w:val="333333"/>
          <w:sz w:val="24"/>
          <w:szCs w:val="24"/>
        </w:rPr>
        <w:t xml:space="preserve">First Viewport (No Scroll)</w:t>
      </w:r>
    </w:p>
    <w:p>
      <w:pPr>
        <w:spacing w:before="60" w:after="60"/>
      </w:pPr>
      <w:r>
        <w:rPr>
          <w:rFonts w:ascii="Arial" w:cs="Arial" w:eastAsia="Arial" w:hAnsi="Arial"/>
          <w:b w:val="false"/>
          <w:bCs w:val="false"/>
          <w:i w:val="false"/>
          <w:iCs w:val="false"/>
          <w:color w:val="555555"/>
          <w:sz w:val="20"/>
          <w:szCs w:val="20"/>
        </w:rPr>
        <w:t xml:space="preserve">The 10-second scanner sees only this. It must answer three questions: What am I looking at? What does this mean? Is there more worth seeing?</w:t>
      </w:r>
    </w:p>
    <w:p>
      <w:pPr>
        <w:spacing w:before="40" w:after="40"/>
      </w:pPr>
    </w:p>
    <w:p>
      <w:pPr>
        <w:pStyle w:val="ListParagraph"/>
        <w:numPr>
          <w:ilvl w:val="0"/>
          <w:numId w:val="3"/>
        </w:numPr>
        <w:spacing w:before="40" w:after="40"/>
      </w:pPr>
      <w:r>
        <w:rPr>
          <w:rFonts w:ascii="Arial" w:cs="Arial" w:eastAsia="Arial" w:hAnsi="Arial"/>
          <w:b/>
          <w:bCs/>
          <w:color w:val="333333"/>
          <w:sz w:val="20"/>
          <w:szCs w:val="20"/>
        </w:rPr>
        <w:t xml:space="preserve">Page Header: </w:t>
      </w:r>
      <w:r>
        <w:rPr>
          <w:rFonts w:ascii="Arial" w:cs="Arial" w:eastAsia="Arial" w:hAnsi="Arial"/>
          <w:color w:val="555555"/>
          <w:sz w:val="20"/>
          <w:szCs w:val="20"/>
        </w:rPr>
        <w:t xml:space="preserve">Outcome-framed title + provocative subtitle + module status</w:t>
      </w:r>
    </w:p>
    <w:p>
      <w:pPr>
        <w:pStyle w:val="ListParagraph"/>
        <w:numPr>
          <w:ilvl w:val="0"/>
          <w:numId w:val="3"/>
        </w:numPr>
        <w:spacing w:before="40" w:after="40"/>
      </w:pPr>
      <w:r>
        <w:rPr>
          <w:rFonts w:ascii="Arial" w:cs="Arial" w:eastAsia="Arial" w:hAnsi="Arial"/>
          <w:b/>
          <w:bCs/>
          <w:color w:val="333333"/>
          <w:sz w:val="20"/>
          <w:szCs w:val="20"/>
        </w:rPr>
        <w:t xml:space="preserve">Overview Panel: </w:t>
      </w:r>
      <w:r>
        <w:rPr>
          <w:rFonts w:ascii="Arial" w:cs="Arial" w:eastAsia="Arial" w:hAnsi="Arial"/>
          <w:color w:val="555555"/>
          <w:sz w:val="20"/>
          <w:szCs w:val="20"/>
        </w:rPr>
        <w:t xml:space="preserve">Radial gauge (78.6) + gap tiles + diagnostic verdict with Moenio scroll signal</w:t>
      </w:r>
    </w:p>
    <w:p>
      <w:pPr>
        <w:pStyle w:val="ListParagraph"/>
        <w:numPr>
          <w:ilvl w:val="0"/>
          <w:numId w:val="3"/>
        </w:numPr>
        <w:spacing w:before="40" w:after="40"/>
      </w:pPr>
      <w:r>
        <w:rPr>
          <w:rFonts w:ascii="Arial" w:cs="Arial" w:eastAsia="Arial" w:hAnsi="Arial"/>
          <w:b/>
          <w:bCs/>
          <w:color w:val="333333"/>
          <w:sz w:val="20"/>
          <w:szCs w:val="20"/>
        </w:rPr>
        <w:t xml:space="preserve">Percentile (partial): </w:t>
      </w:r>
      <w:r>
        <w:rPr>
          <w:rFonts w:ascii="Arial" w:cs="Arial" w:eastAsia="Arial" w:hAnsi="Arial"/>
          <w:color w:val="555555"/>
          <w:sz w:val="20"/>
          <w:szCs w:val="20"/>
        </w:rPr>
        <w:t xml:space="preserve">94th percentile number and linear bar may be partially visible, encouraging first scroll</w:t>
      </w:r>
    </w:p>
    <w:p>
      <w:pPr>
        <w:spacing w:before="40" w:after="40"/>
      </w:pPr>
    </w:p>
    <w:p>
      <w:pPr>
        <w:spacing w:before="60" w:after="60"/>
      </w:pPr>
      <w:r>
        <w:rPr>
          <w:rFonts w:ascii="Arial" w:cs="Arial" w:eastAsia="Arial" w:hAnsi="Arial"/>
          <w:b/>
          <w:bCs/>
          <w:color w:val="2E8B8B"/>
          <w:sz w:val="20"/>
          <w:szCs w:val="20"/>
        </w:rPr>
        <w:t xml:space="preserve">Information-foraging signal: </w:t>
      </w:r>
      <w:r>
        <w:rPr>
          <w:rFonts w:ascii="Arial" w:cs="Arial" w:eastAsia="Arial" w:hAnsi="Arial"/>
          <w:color w:val="555555"/>
          <w:sz w:val="20"/>
          <w:szCs w:val="20"/>
        </w:rPr>
        <w:t xml:space="preserve">NNGroup’s eyetracking research shows 74% of viewing time is spent in the top two screenfuls. The diagnostic verdict’s reference to observational intelligence ("based on what we’ve observed...") creates the information-foraging cue that pulls the advisor past the fold. The partially visible Percentile section creates a visual "cut-off" that NNGroup recommends as a scroll signifier — content naturally extends below the viewport edge.</w:t>
      </w:r>
    </w:p>
    <w:p>
      <w:pPr>
        <w:spacing w:before="80" w:after="80"/>
      </w:pPr>
    </w:p>
    <w:p>
      <w:pPr>
        <w:spacing w:before="240" w:after="80"/>
      </w:pPr>
      <w:r>
        <w:rPr>
          <w:rFonts w:ascii="Arial" w:cs="Arial" w:eastAsia="Arial" w:hAnsi="Arial"/>
          <w:b/>
          <w:bCs/>
          <w:color w:val="333333"/>
          <w:sz w:val="24"/>
          <w:szCs w:val="24"/>
        </w:rPr>
        <w:t xml:space="preserve">Second Viewport (First Scroll)</w:t>
      </w:r>
    </w:p>
    <w:p>
      <w:pPr>
        <w:spacing w:before="60" w:after="60"/>
      </w:pPr>
      <w:r>
        <w:rPr>
          <w:rFonts w:ascii="Arial" w:cs="Arial" w:eastAsia="Arial" w:hAnsi="Arial"/>
          <w:b w:val="false"/>
          <w:bCs w:val="false"/>
          <w:i w:val="false"/>
          <w:iCs w:val="false"/>
          <w:color w:val="555555"/>
          <w:sz w:val="20"/>
          <w:szCs w:val="20"/>
        </w:rPr>
        <w:t xml:space="preserve">The 2-minute reader arrives here. They’re now engaged and scanning.</w:t>
      </w:r>
    </w:p>
    <w:p>
      <w:pPr>
        <w:spacing w:before="40" w:after="40"/>
      </w:pPr>
    </w:p>
    <w:p>
      <w:pPr>
        <w:pStyle w:val="ListParagraph"/>
        <w:numPr>
          <w:ilvl w:val="0"/>
          <w:numId w:val="4"/>
        </w:numPr>
        <w:spacing w:before="40" w:after="40"/>
      </w:pPr>
      <w:r>
        <w:rPr>
          <w:rFonts w:ascii="Arial" w:cs="Arial" w:eastAsia="Arial" w:hAnsi="Arial"/>
          <w:b/>
          <w:bCs/>
          <w:color w:val="333333"/>
          <w:sz w:val="20"/>
          <w:szCs w:val="20"/>
        </w:rPr>
        <w:t xml:space="preserve">Percentile (full): </w:t>
      </w:r>
      <w:r>
        <w:rPr>
          <w:rFonts w:ascii="Arial" w:cs="Arial" w:eastAsia="Arial" w:hAnsi="Arial"/>
          <w:color w:val="555555"/>
          <w:sz w:val="20"/>
          <w:szCs w:val="20"/>
        </w:rPr>
        <w:t xml:space="preserve">Complete linear bar with benchmark + contextual line</w:t>
      </w:r>
    </w:p>
    <w:p>
      <w:pPr>
        <w:pStyle w:val="ListParagraph"/>
        <w:numPr>
          <w:ilvl w:val="0"/>
          <w:numId w:val="4"/>
        </w:numPr>
        <w:spacing w:before="40" w:after="40"/>
      </w:pPr>
      <w:r>
        <w:rPr>
          <w:rFonts w:ascii="Arial" w:cs="Arial" w:eastAsia="Arial" w:hAnsi="Arial"/>
          <w:b/>
          <w:bCs/>
          <w:color w:val="333333"/>
          <w:sz w:val="20"/>
          <w:szCs w:val="20"/>
        </w:rPr>
        <w:t xml:space="preserve">Insight Areas: </w:t>
      </w:r>
      <w:r>
        <w:rPr>
          <w:rFonts w:ascii="Arial" w:cs="Arial" w:eastAsia="Arial" w:hAnsi="Arial"/>
          <w:color w:val="555555"/>
          <w:sz w:val="20"/>
          <w:szCs w:val="20"/>
        </w:rPr>
        <w:t xml:space="preserve">Dot navigation row showing all six areas’ status. Compact. Powerful.</w:t>
      </w:r>
    </w:p>
    <w:p>
      <w:pPr>
        <w:pStyle w:val="ListParagraph"/>
        <w:numPr>
          <w:ilvl w:val="0"/>
          <w:numId w:val="4"/>
        </w:numPr>
        <w:spacing w:before="40" w:after="40"/>
      </w:pPr>
      <w:r>
        <w:rPr>
          <w:rFonts w:ascii="Arial" w:cs="Arial" w:eastAsia="Arial" w:hAnsi="Arial"/>
          <w:b/>
          <w:bCs/>
          <w:color w:val="333333"/>
          <w:sz w:val="20"/>
          <w:szCs w:val="20"/>
        </w:rPr>
        <w:t xml:space="preserve">Data Point Scores (collapsed): </w:t>
      </w:r>
      <w:r>
        <w:rPr>
          <w:rFonts w:ascii="Arial" w:cs="Arial" w:eastAsia="Arial" w:hAnsi="Arial"/>
          <w:color w:val="555555"/>
          <w:sz w:val="20"/>
          <w:szCs w:val="20"/>
        </w:rPr>
        <w:t xml:space="preserve">Header + summary line only. "Your Data Points: 11 Assessed"</w:t>
      </w:r>
    </w:p>
    <w:p>
      <w:pPr>
        <w:spacing w:before="80" w:after="80"/>
      </w:pPr>
    </w:p>
    <w:p>
      <w:pPr>
        <w:spacing w:before="240" w:after="80"/>
      </w:pPr>
      <w:r>
        <w:rPr>
          <w:rFonts w:ascii="Arial" w:cs="Arial" w:eastAsia="Arial" w:hAnsi="Arial"/>
          <w:b/>
          <w:bCs/>
          <w:color w:val="333333"/>
          <w:sz w:val="24"/>
          <w:szCs w:val="24"/>
        </w:rPr>
        <w:t xml:space="preserve">Third Viewport (Continued Scroll)</w:t>
      </w:r>
    </w:p>
    <w:p>
      <w:pPr>
        <w:spacing w:before="60" w:after="60"/>
      </w:pPr>
      <w:r>
        <w:rPr>
          <w:rFonts w:ascii="Arial" w:cs="Arial" w:eastAsia="Arial" w:hAnsi="Arial"/>
          <w:b w:val="false"/>
          <w:bCs w:val="false"/>
          <w:i w:val="false"/>
          <w:iCs w:val="false"/>
          <w:color w:val="555555"/>
          <w:sz w:val="20"/>
          <w:szCs w:val="20"/>
        </w:rPr>
        <w:t xml:space="preserve">The visual tone shifts. The advisor crosses the threshold and enters the Moenio layer.</w:t>
      </w:r>
    </w:p>
    <w:p>
      <w:pPr>
        <w:spacing w:before="40" w:after="40"/>
      </w:pPr>
    </w:p>
    <w:p>
      <w:pPr>
        <w:pStyle w:val="ListParagraph"/>
        <w:numPr>
          <w:ilvl w:val="0"/>
          <w:numId w:val="4"/>
        </w:numPr>
        <w:spacing w:before="40" w:after="40"/>
      </w:pPr>
      <w:r>
        <w:rPr>
          <w:rFonts w:ascii="Arial" w:cs="Arial" w:eastAsia="Arial" w:hAnsi="Arial"/>
          <w:b/>
          <w:bCs/>
          <w:color w:val="333333"/>
          <w:sz w:val="20"/>
          <w:szCs w:val="20"/>
        </w:rPr>
        <w:t xml:space="preserve">Competitive Position Scores: </w:t>
      </w:r>
      <w:r>
        <w:rPr>
          <w:rFonts w:ascii="Arial" w:cs="Arial" w:eastAsia="Arial" w:hAnsi="Arial"/>
          <w:color w:val="555555"/>
          <w:sz w:val="20"/>
          <w:szCs w:val="20"/>
        </w:rPr>
        <w:t xml:space="preserve">Dimension names with scores. Last Part 1 element.</w:t>
      </w:r>
    </w:p>
    <w:p>
      <w:pPr>
        <w:pStyle w:val="ListParagraph"/>
        <w:numPr>
          <w:ilvl w:val="0"/>
          <w:numId w:val="4"/>
        </w:numPr>
        <w:spacing w:before="40" w:after="40"/>
      </w:pPr>
      <w:r>
        <w:rPr>
          <w:rFonts w:ascii="Arial" w:cs="Arial" w:eastAsia="Arial" w:hAnsi="Arial"/>
          <w:b/>
          <w:bCs/>
          <w:color w:val="C9963B"/>
          <w:sz w:val="20"/>
          <w:szCs w:val="20"/>
        </w:rPr>
        <w:t xml:space="preserve">THRESHOLD: </w:t>
      </w:r>
      <w:r>
        <w:rPr>
          <w:rFonts w:ascii="Arial" w:cs="Arial" w:eastAsia="Arial" w:hAnsi="Arial"/>
          <w:color w:val="555555"/>
          <w:sz w:val="20"/>
          <w:szCs w:val="20"/>
        </w:rPr>
        <w:t xml:space="preserve">Visual shift — background, typography, accent color, voice all change</w:t>
      </w:r>
    </w:p>
    <w:p>
      <w:pPr>
        <w:pStyle w:val="ListParagraph"/>
        <w:numPr>
          <w:ilvl w:val="0"/>
          <w:numId w:val="4"/>
        </w:numPr>
        <w:spacing w:before="40" w:after="40"/>
      </w:pPr>
      <w:r>
        <w:rPr>
          <w:rFonts w:ascii="Arial" w:cs="Arial" w:eastAsia="Arial" w:hAnsi="Arial"/>
          <w:b/>
          <w:bCs/>
          <w:color w:val="C9963B"/>
          <w:sz w:val="20"/>
          <w:szCs w:val="20"/>
        </w:rPr>
        <w:t xml:space="preserve">Competitive Position Reframed: </w:t>
      </w:r>
      <w:r>
        <w:rPr>
          <w:rFonts w:ascii="Arial" w:cs="Arial" w:eastAsia="Arial" w:hAnsi="Arial"/>
          <w:color w:val="555555"/>
          <w:sz w:val="20"/>
          <w:szCs w:val="20"/>
        </w:rPr>
        <w:t xml:space="preserve">The cheat sheet. What Wins / What Loses with behavioral framing.</w:t>
      </w:r>
    </w:p>
    <w:p>
      <w:pPr>
        <w:spacing w:before="80" w:after="80"/>
      </w:pPr>
    </w:p>
    <w:p>
      <w:pPr>
        <w:spacing w:before="240" w:after="80"/>
      </w:pPr>
      <w:r>
        <w:rPr>
          <w:rFonts w:ascii="Arial" w:cs="Arial" w:eastAsia="Arial" w:hAnsi="Arial"/>
          <w:b/>
          <w:bCs/>
          <w:color w:val="333333"/>
          <w:sz w:val="24"/>
          <w:szCs w:val="24"/>
        </w:rPr>
        <w:t xml:space="preserve">Fourth Viewport (Final Scroll)</w:t>
      </w:r>
    </w:p>
    <w:p>
      <w:pPr>
        <w:spacing w:before="60" w:after="60"/>
      </w:pPr>
      <w:r>
        <w:rPr>
          <w:rFonts w:ascii="Arial" w:cs="Arial" w:eastAsia="Arial" w:hAnsi="Arial"/>
          <w:b w:val="false"/>
          <w:bCs w:val="false"/>
          <w:i w:val="false"/>
          <w:iCs w:val="false"/>
          <w:color w:val="555555"/>
          <w:sz w:val="20"/>
          <w:szCs w:val="20"/>
        </w:rPr>
        <w:t xml:space="preserve">The advisor is now deep in the Moenio layer. This is where the peak-end rule applies.</w:t>
      </w:r>
    </w:p>
    <w:p>
      <w:pPr>
        <w:spacing w:before="40" w:after="40"/>
      </w:pPr>
    </w:p>
    <w:p>
      <w:pPr>
        <w:pStyle w:val="ListParagraph"/>
        <w:numPr>
          <w:ilvl w:val="0"/>
          <w:numId w:val="4"/>
        </w:numPr>
        <w:spacing w:before="40" w:after="40"/>
      </w:pPr>
      <w:r>
        <w:rPr>
          <w:rFonts w:ascii="Arial" w:cs="Arial" w:eastAsia="Arial" w:hAnsi="Arial"/>
          <w:b/>
          <w:bCs/>
          <w:color w:val="C9963B"/>
          <w:sz w:val="20"/>
          <w:szCs w:val="20"/>
        </w:rPr>
        <w:t xml:space="preserve">Top 5% Differently: </w:t>
      </w:r>
      <w:r>
        <w:rPr>
          <w:rFonts w:ascii="Arial" w:cs="Arial" w:eastAsia="Arial" w:hAnsi="Arial"/>
          <w:color w:val="555555"/>
          <w:sz w:val="20"/>
          <w:szCs w:val="20"/>
        </w:rPr>
        <w:t xml:space="preserve">Category names visible, detail on expansion. Exclusive peer intelligence.</w:t>
      </w:r>
    </w:p>
    <w:p>
      <w:pPr>
        <w:pStyle w:val="ListParagraph"/>
        <w:numPr>
          <w:ilvl w:val="0"/>
          <w:numId w:val="4"/>
        </w:numPr>
        <w:spacing w:before="40" w:after="40"/>
      </w:pPr>
      <w:r>
        <w:rPr>
          <w:rFonts w:ascii="Arial" w:cs="Arial" w:eastAsia="Arial" w:hAnsi="Arial"/>
          <w:b/>
          <w:bCs/>
          <w:color w:val="C9963B"/>
          <w:sz w:val="20"/>
          <w:szCs w:val="20"/>
        </w:rPr>
        <w:t xml:space="preserve">Improvement Roadmap: </w:t>
      </w:r>
      <w:r>
        <w:rPr>
          <w:rFonts w:ascii="Arial" w:cs="Arial" w:eastAsia="Arial" w:hAnsi="Arial"/>
          <w:color w:val="555555"/>
          <w:sz w:val="20"/>
          <w:szCs w:val="20"/>
        </w:rPr>
        <w:t xml:space="preserve">Priority flow with impact tags. The advisor’s last impression: a clear path forward.</w:t>
      </w:r>
    </w:p>
    <w:p>
      <w:r>
        <w:br w:type="page"/>
      </w:r>
    </w:p>
    <w:p>
      <w:pPr>
        <w:pStyle w:val="Heading1"/>
      </w:pPr>
      <w:r>
        <w:t xml:space="preserve">6. Next Layers to Build</w:t>
      </w:r>
    </w:p>
    <w:p>
      <w:pPr>
        <w:spacing w:before="60" w:after="60"/>
      </w:pPr>
      <w:r>
        <w:rPr>
          <w:rFonts w:ascii="Arial" w:cs="Arial" w:eastAsia="Arial" w:hAnsi="Arial"/>
          <w:b w:val="false"/>
          <w:bCs w:val="false"/>
          <w:i w:val="false"/>
          <w:iCs w:val="false"/>
          <w:color w:val="555555"/>
          <w:sz w:val="20"/>
          <w:szCs w:val="20"/>
        </w:rPr>
        <w:t xml:space="preserve">The three-speed model is now locked. Two specification layers remain before a working prototype can be built:</w:t>
      </w:r>
    </w:p>
    <w:p>
      <w:pPr>
        <w:spacing w:before="80" w:after="80"/>
      </w:pPr>
    </w:p>
    <w:p>
      <w:pPr>
        <w:spacing w:before="240" w:after="80"/>
      </w:pPr>
      <w:r>
        <w:rPr>
          <w:rFonts w:ascii="Arial" w:cs="Arial" w:eastAsia="Arial" w:hAnsi="Arial"/>
          <w:b/>
          <w:bCs/>
          <w:color w:val="333333"/>
          <w:sz w:val="24"/>
          <w:szCs w:val="24"/>
        </w:rPr>
        <w:t xml:space="preserve">Layer 2: EDR Copy Framework (Section by Section)</w:t>
      </w:r>
    </w:p>
    <w:p>
      <w:pPr>
        <w:spacing w:before="60" w:after="60"/>
      </w:pPr>
      <w:r>
        <w:rPr>
          <w:rFonts w:ascii="Arial" w:cs="Arial" w:eastAsia="Arial" w:hAnsi="Arial"/>
          <w:b w:val="false"/>
          <w:bCs w:val="false"/>
          <w:i w:val="false"/>
          <w:iCs w:val="false"/>
          <w:color w:val="555555"/>
          <w:sz w:val="20"/>
          <w:szCs w:val="20"/>
        </w:rPr>
        <w:t xml:space="preserve">Every component needs Exposition, Diagnosis, and Recommendation copy. This is the connective tissue Michela’s design is missing. Key deliverables:</w:t>
      </w:r>
    </w:p>
    <w:p>
      <w:pPr>
        <w:spacing w:before="40" w:after="40"/>
      </w:pPr>
    </w:p>
    <w:p>
      <w:pPr>
        <w:pStyle w:val="ListParagraph"/>
        <w:numPr>
          <w:ilvl w:val="0"/>
          <w:numId w:val="3"/>
        </w:numPr>
        <w:spacing w:before="40" w:after="40"/>
      </w:pPr>
      <w:r>
        <w:rPr>
          <w:rFonts w:ascii="Arial" w:cs="Arial" w:eastAsia="Arial" w:hAnsi="Arial"/>
          <w:color w:val="555555"/>
          <w:sz w:val="20"/>
          <w:szCs w:val="20"/>
        </w:rPr>
        <w:t xml:space="preserve">The diagnostic verdict (Overview Panel) — the single most critical copy element</w:t>
      </w:r>
    </w:p>
    <w:p>
      <w:pPr>
        <w:pStyle w:val="ListParagraph"/>
        <w:numPr>
          <w:ilvl w:val="0"/>
          <w:numId w:val="3"/>
        </w:numPr>
        <w:spacing w:before="40" w:after="40"/>
      </w:pPr>
      <w:r>
        <w:rPr>
          <w:rFonts w:ascii="Arial" w:cs="Arial" w:eastAsia="Arial" w:hAnsi="Arial"/>
          <w:color w:val="555555"/>
          <w:sz w:val="20"/>
          <w:szCs w:val="20"/>
        </w:rPr>
        <w:t xml:space="preserve">Collapsed header copy for Data Point Scores — must make the click feel worthwhile</w:t>
      </w:r>
    </w:p>
    <w:p>
      <w:pPr>
        <w:pStyle w:val="ListParagraph"/>
        <w:numPr>
          <w:ilvl w:val="0"/>
          <w:numId w:val="3"/>
        </w:numPr>
        <w:spacing w:before="40" w:after="40"/>
      </w:pPr>
      <w:r>
        <w:rPr>
          <w:rFonts w:ascii="Arial" w:cs="Arial" w:eastAsia="Arial" w:hAnsi="Arial"/>
          <w:color w:val="555555"/>
          <w:sz w:val="20"/>
          <w:szCs w:val="20"/>
        </w:rPr>
        <w:t xml:space="preserve">Pattern Detected intelligence woven into diagnostic language throughout</w:t>
      </w:r>
    </w:p>
    <w:p>
      <w:pPr>
        <w:pStyle w:val="ListParagraph"/>
        <w:numPr>
          <w:ilvl w:val="0"/>
          <w:numId w:val="3"/>
        </w:numPr>
        <w:spacing w:before="40" w:after="40"/>
      </w:pPr>
      <w:r>
        <w:rPr>
          <w:rFonts w:ascii="Arial" w:cs="Arial" w:eastAsia="Arial" w:hAnsi="Arial"/>
          <w:color w:val="555555"/>
          <w:sz w:val="20"/>
          <w:szCs w:val="20"/>
        </w:rPr>
        <w:t xml:space="preserve">Threshold transition copy — what marks the shift from assessment to Moenio</w:t>
      </w:r>
    </w:p>
    <w:p>
      <w:pPr>
        <w:pStyle w:val="ListParagraph"/>
        <w:numPr>
          <w:ilvl w:val="0"/>
          <w:numId w:val="3"/>
        </w:numPr>
        <w:spacing w:before="40" w:after="40"/>
      </w:pPr>
      <w:r>
        <w:rPr>
          <w:rFonts w:ascii="Arial" w:cs="Arial" w:eastAsia="Arial" w:hAnsi="Arial"/>
          <w:color w:val="555555"/>
          <w:sz w:val="20"/>
          <w:szCs w:val="20"/>
        </w:rPr>
        <w:t xml:space="preserve">Roadmap "why this matters" framing — connecting actions to business consequences</w:t>
      </w:r>
    </w:p>
    <w:p>
      <w:pPr>
        <w:spacing w:before="80" w:after="80"/>
      </w:pPr>
    </w:p>
    <w:p>
      <w:pPr>
        <w:spacing w:before="240" w:after="80"/>
      </w:pPr>
      <w:r>
        <w:rPr>
          <w:rFonts w:ascii="Arial" w:cs="Arial" w:eastAsia="Arial" w:hAnsi="Arial"/>
          <w:b/>
          <w:bCs/>
          <w:color w:val="333333"/>
          <w:sz w:val="24"/>
          <w:szCs w:val="24"/>
        </w:rPr>
        <w:t xml:space="preserve">Layer 3: Moenio Visual Treatment</w:t>
      </w:r>
    </w:p>
    <w:p>
      <w:pPr>
        <w:spacing w:before="60" w:after="60"/>
      </w:pPr>
      <w:r>
        <w:rPr>
          <w:rFonts w:ascii="Arial" w:cs="Arial" w:eastAsia="Arial" w:hAnsi="Arial"/>
          <w:b w:val="false"/>
          <w:bCs w:val="false"/>
          <w:i w:val="false"/>
          <w:iCs w:val="false"/>
          <w:color w:val="555555"/>
          <w:sz w:val="20"/>
          <w:szCs w:val="20"/>
        </w:rPr>
        <w:t xml:space="preserve">What makes Part 2 look and feel different from Part 1. This is new design territory — Michela has no threshold in her current design. Key deliverables:</w:t>
      </w:r>
    </w:p>
    <w:p>
      <w:pPr>
        <w:spacing w:before="40" w:after="40"/>
      </w:pPr>
    </w:p>
    <w:p>
      <w:pPr>
        <w:pStyle w:val="ListParagraph"/>
        <w:numPr>
          <w:ilvl w:val="0"/>
          <w:numId w:val="3"/>
        </w:numPr>
        <w:spacing w:before="40" w:after="40"/>
      </w:pPr>
      <w:r>
        <w:rPr>
          <w:rFonts w:ascii="Arial" w:cs="Arial" w:eastAsia="Arial" w:hAnsi="Arial"/>
          <w:color w:val="555555"/>
          <w:sz w:val="20"/>
          <w:szCs w:val="20"/>
        </w:rPr>
        <w:t xml:space="preserve">Background shift specification (color, texture, visual weight)</w:t>
      </w:r>
    </w:p>
    <w:p>
      <w:pPr>
        <w:pStyle w:val="ListParagraph"/>
        <w:numPr>
          <w:ilvl w:val="0"/>
          <w:numId w:val="3"/>
        </w:numPr>
        <w:spacing w:before="40" w:after="40"/>
      </w:pPr>
      <w:r>
        <w:rPr>
          <w:rFonts w:ascii="Arial" w:cs="Arial" w:eastAsia="Arial" w:hAnsi="Arial"/>
          <w:color w:val="555555"/>
          <w:sz w:val="20"/>
          <w:szCs w:val="20"/>
        </w:rPr>
        <w:t xml:space="preserve">Typography treatment (what changes in Part 2: weight, size, font pairing)</w:t>
      </w:r>
    </w:p>
    <w:p>
      <w:pPr>
        <w:pStyle w:val="ListParagraph"/>
        <w:numPr>
          <w:ilvl w:val="0"/>
          <w:numId w:val="3"/>
        </w:numPr>
        <w:spacing w:before="40" w:after="40"/>
      </w:pPr>
      <w:r>
        <w:rPr>
          <w:rFonts w:ascii="Arial" w:cs="Arial" w:eastAsia="Arial" w:hAnsi="Arial"/>
          <w:color w:val="555555"/>
          <w:sz w:val="20"/>
          <w:szCs w:val="20"/>
        </w:rPr>
        <w:t xml:space="preserve">Voice shift guidance (how copy tone changes across the threshold)</w:t>
      </w:r>
    </w:p>
    <w:p>
      <w:pPr>
        <w:pStyle w:val="ListParagraph"/>
        <w:numPr>
          <w:ilvl w:val="0"/>
          <w:numId w:val="3"/>
        </w:numPr>
        <w:spacing w:before="40" w:after="40"/>
      </w:pPr>
      <w:r>
        <w:rPr>
          <w:rFonts w:ascii="Arial" w:cs="Arial" w:eastAsia="Arial" w:hAnsi="Arial"/>
          <w:color w:val="555555"/>
          <w:sz w:val="20"/>
          <w:szCs w:val="20"/>
        </w:rPr>
        <w:t xml:space="preserve">Gold accent language system (where and how the gold appears)</w:t>
      </w:r>
    </w:p>
    <w:p>
      <w:pPr>
        <w:pStyle w:val="ListParagraph"/>
        <w:numPr>
          <w:ilvl w:val="0"/>
          <w:numId w:val="3"/>
        </w:numPr>
        <w:spacing w:before="40" w:after="40"/>
      </w:pPr>
      <w:r>
        <w:rPr>
          <w:rFonts w:ascii="Arial" w:cs="Arial" w:eastAsia="Arial" w:hAnsi="Arial"/>
          <w:color w:val="555555"/>
          <w:sz w:val="20"/>
          <w:szCs w:val="20"/>
        </w:rPr>
        <w:t xml:space="preserve">Threshold moment design (the literal visual break between Part 1 and Part 2)</w:t>
      </w:r>
    </w:p>
    <w:p>
      <w:pPr>
        <w:spacing w:before="200" w:after="200"/>
      </w:pPr>
    </w:p>
    <w:p>
      <w:pPr>
        <w:pBdr>
          <w:bottom w:val="single" w:color="1B2A4A" w:sz="6" w:space="1"/>
        </w:pBdr>
        <w:spacing w:before="200" w:after="200"/>
      </w:pPr>
    </w:p>
    <w:p>
      <w:pPr>
        <w:spacing w:before="80" w:after="80"/>
      </w:pPr>
    </w:p>
    <w:p>
      <w:pPr>
        <w:spacing w:after="60"/>
        <w:jc w:val="center"/>
      </w:pPr>
      <w:r>
        <w:rPr>
          <w:rFonts w:ascii="Arial" w:cs="Arial" w:eastAsia="Arial" w:hAnsi="Arial"/>
          <w:b/>
          <w:bCs/>
          <w:color w:val="1B2A4A"/>
          <w:sz w:val="22"/>
          <w:szCs w:val="22"/>
        </w:rPr>
        <w:t xml:space="preserve">Document Status: LOCKED</w:t>
      </w:r>
    </w:p>
    <w:p>
      <w:pPr>
        <w:spacing w:after="60"/>
        <w:jc w:val="center"/>
      </w:pPr>
      <w:r>
        <w:rPr>
          <w:rFonts w:ascii="Arial" w:cs="Arial" w:eastAsia="Arial" w:hAnsi="Arial"/>
          <w:i/>
          <w:iCs/>
          <w:color w:val="555555"/>
          <w:sz w:val="18"/>
          <w:szCs w:val="18"/>
        </w:rPr>
        <w:t xml:space="preserve">Three-speed model decisions are final. Ready for EDR copy framework or Moenio visual treatment.</w:t>
      </w:r>
    </w:p>
    <w:p>
      <w:pPr>
        <w:jc w:val="center"/>
      </w:pPr>
      <w:r>
        <w:rPr>
          <w:rFonts w:ascii="Arial" w:cs="Arial" w:eastAsia="Arial" w:hAnsi="Arial"/>
          <w:color w:val="C9963B"/>
          <w:sz w:val="16"/>
          <w:szCs w:val="16"/>
        </w:rPr>
        <w:t xml:space="preserve">Builds on: Point93_UX_Decisions_Working_Document.docx • Point93_Visualization_Design_System.docx • Point93_Conversion_Copy_Framework.docx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B2A4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2026-02-13T23:24:51.073Z</dcterms:created>
  <dcterms:modified xsi:type="dcterms:W3CDTF">2026-02-13T23:24:51.074Z</dcterms:modified>
</cp:coreProperties>
</file>

<file path=docProps/custom.xml><?xml version="1.0" encoding="utf-8"?>
<Properties xmlns="http://schemas.openxmlformats.org/officeDocument/2006/custom-properties" xmlns:vt="http://schemas.openxmlformats.org/officeDocument/2006/docPropsVTypes"/>
</file>