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5E7B"/>
          <w:spacing w:val="200"/>
          <w:sz w:val="20"/>
          <w:szCs w:val="20"/>
        </w:rPr>
        <w:t xml:space="preserve">POINT93</w:t>
      </w:r>
    </w:p>
    <w:p>
      <w:pPr>
        <w:spacing w:after="80"/>
        <w:jc w:val="center"/>
      </w:pPr>
      <w:r>
        <w:rPr>
          <w:rFonts w:ascii="Georgia" w:cs="Georgia" w:eastAsia="Georgia" w:hAnsi="Georgia"/>
          <w:color w:val="0E3A4D"/>
          <w:sz w:val="48"/>
          <w:szCs w:val="48"/>
        </w:rPr>
        <w:t xml:space="preserve">Visualization Design System</w:t>
      </w:r>
    </w:p>
    <w:p>
      <w:pPr>
        <w:spacing w:after="60"/>
        <w:jc w:val="center"/>
      </w:pPr>
      <w:r>
        <w:rPr>
          <w:rFonts w:ascii="Georgia" w:cs="Georgia" w:eastAsia="Georgia" w:hAnsi="Georgia"/>
          <w:color w:val="1B5E7B"/>
          <w:sz w:val="28"/>
          <w:szCs w:val="28"/>
        </w:rPr>
        <w:t xml:space="preserve">Copy-to-Data Ratio Framework</w:t>
      </w:r>
    </w:p>
    <w:p>
      <w:pPr>
        <w:pBdr>
          <w:bottom w:val="single" w:color="1B5E7B" w:sz="6" w:space="1"/>
        </w:pBdr>
        <w:spacing w:after="400"/>
        <w:jc w:val="center"/>
      </w:pPr>
      <w:r>
        <w:rPr>
          <w:rFonts w:ascii="Arial" w:cs="Arial" w:eastAsia="Arial" w:hAnsi="Arial"/>
          <w:color w:val="6E7A8F"/>
          <w:sz w:val="24"/>
          <w:szCs w:val="24"/>
        </w:rPr>
        <w:t xml:space="preserve">Data Leads. Narrative Rewards.</w:t>
      </w:r>
    </w:p>
    <w:p>
      <w:pPr>
        <w:spacing w:after="400"/>
      </w:pPr>
    </w:p>
    <w:p>
      <w:pPr>
        <w:spacing w:after="80"/>
        <w:jc w:val="center"/>
      </w:pPr>
      <w:r>
        <w:rPr>
          <w:rFonts w:ascii="Arial" w:cs="Arial" w:eastAsia="Arial" w:hAnsi="Arial"/>
          <w:color w:val="6E7A8F"/>
          <w:sz w:val="20"/>
          <w:szCs w:val="20"/>
        </w:rPr>
        <w:t xml:space="preserve">Version 1.0  •  February 2026</w:t>
      </w:r>
    </w:p>
    <w:p>
      <w:pPr>
        <w:jc w:val="center"/>
      </w:pPr>
      <w:r>
        <w:rPr>
          <w:rFonts w:ascii="Arial" w:cs="Arial" w:eastAsia="Arial" w:hAnsi="Arial"/>
          <w:color w:val="6E7A8F"/>
          <w:sz w:val="20"/>
          <w:szCs w:val="20"/>
        </w:rPr>
        <w:t xml:space="preserve">Companion to: Intelligence Treatment Framework  •  Intelligence Repository  •  AI Content Guardrails</w:t>
      </w:r>
    </w:p>
    <w:p>
      <w:r>
        <w:br w:type="page"/>
      </w:r>
    </w:p>
    <w:p>
      <w:pPr>
        <w:pStyle w:val="Heading1"/>
      </w:pPr>
      <w:r>
        <w:t xml:space="preserve">The Problem We’re Solving</w:t>
      </w:r>
    </w:p>
    <w:p>
      <w:pPr>
        <w:spacing w:after="160"/>
      </w:pPr>
      <w:r>
        <w:rPr>
          <w:rFonts w:ascii="Arial" w:cs="Arial" w:eastAsia="Arial" w:hAnsi="Arial"/>
          <w:color w:val="3D4659"/>
          <w:sz w:val="22"/>
          <w:szCs w:val="22"/>
        </w:rPr>
        <w:t xml:space="preserve">Point93 is building something most dashboards don’t attempt: an intelligence layer that lives alongside quantitative data. Observational evidence, client perspective quotes, behavioral benchmarks, diagnostic narratives, and recommendations are the product’s competitive moat. But intelligence is delivered in prose, and prose on a dashboard creates a fundamental tension.</w:t>
      </w:r>
    </w:p>
    <w:p>
      <w:pPr>
        <w:spacing w:after="160"/>
      </w:pPr>
      <w:r>
        <w:rPr>
          <w:rFonts w:ascii="Arial" w:cs="Arial" w:eastAsia="Arial" w:hAnsi="Arial"/>
          <w:b/>
          <w:bCs/>
          <w:color w:val="0E3A4D"/>
          <w:sz w:val="22"/>
          <w:szCs w:val="22"/>
        </w:rPr>
        <w:t xml:space="preserve">The V5 prototype demonstrated the issue: </w:t>
      </w:r>
      <w:r>
        <w:rPr>
          <w:rFonts w:ascii="Arial" w:cs="Arial" w:eastAsia="Arial" w:hAnsi="Arial"/>
          <w:color w:val="3D4659"/>
          <w:sz w:val="22"/>
          <w:szCs w:val="22"/>
        </w:rPr>
        <w:t xml:space="preserve">every section was narrative-rich, which meant nothing felt narrative-special. The advisor was asked to read their way into caring about their data, when the data should pull them in and the narrative should reward that attention.</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8"/>
              <w:bottom w:val="single" w:color="D0D7E0" w:sz="1"/>
              <w:right w:val="single" w:color="D0D7E0" w:sz="1"/>
            </w:tcBorders>
            <w:shd w:fill="EBF4F8" w:val="clear"/>
            <w:tcMar>
              <w:top w:type="dxa" w:w="120"/>
              <w:left w:type="dxa" w:w="200"/>
              <w:bottom w:type="dxa" w:w="120"/>
              <w:right w:type="dxa" w:w="200"/>
            </w:tcMar>
          </w:tcPr>
          <w:p>
            <w:pPr>
              <w:spacing w:after="60"/>
            </w:pPr>
            <w:r>
              <w:rPr>
                <w:rFonts w:ascii="Arial" w:cs="Arial" w:eastAsia="Arial" w:hAnsi="Arial"/>
                <w:b/>
                <w:bCs/>
                <w:color w:val="1B5E7B"/>
                <w:spacing w:val="60"/>
                <w:sz w:val="16"/>
                <w:szCs w:val="16"/>
              </w:rPr>
              <w:t xml:space="preserve">THE GOVERNING PRINCIPLE</w:t>
            </w:r>
          </w:p>
          <w:p>
            <w:pPr>
              <w:spacing w:after="0"/>
            </w:pPr>
            <w:r>
              <w:rPr>
                <w:rFonts w:ascii="Georgia" w:cs="Georgia" w:eastAsia="Georgia" w:hAnsi="Georgia"/>
                <w:i/>
                <w:iCs/>
                <w:color w:val="0E3A4D"/>
                <w:sz w:val="23"/>
                <w:szCs w:val="23"/>
              </w:rPr>
              <w:t xml:space="preserve">Data is the default. Narrative must earn its space by doing something the number alone cannot. A score communicates position. A gap communicates distance. A band communicates urgency. Narrative earns space only when it adds specificity the number can’t carry, emotion the number can’t create, or direction the number can’t provide.</w:t>
            </w:r>
          </w:p>
        </w:tc>
      </w:tr>
    </w:tbl>
    <w:p>
      <w:pPr>
        <w:spacing w:after="120"/>
      </w:pPr>
    </w:p>
    <w:p>
      <w:pPr>
        <w:pStyle w:val="Heading1"/>
      </w:pPr>
      <w:r>
        <w:t xml:space="preserve">When Narrative Earns Its Space</w:t>
      </w:r>
    </w:p>
    <w:p>
      <w:pPr>
        <w:spacing w:after="160"/>
      </w:pPr>
      <w:r>
        <w:rPr>
          <w:rFonts w:ascii="Arial" w:cs="Arial" w:eastAsia="Arial" w:hAnsi="Arial"/>
          <w:color w:val="3D4659"/>
          <w:sz w:val="22"/>
          <w:szCs w:val="22"/>
        </w:rPr>
        <w:t xml:space="preserve">Every narrative block on the platform must pass the Earning Test. If a piece of copy cannot claim at least one of the following three criteria, it should be replaced by data or removed entirely.</w:t>
      </w:r>
    </w:p>
    <w:p>
      <w:pPr>
        <w:spacing w:after="60"/>
      </w:pPr>
    </w:p>
    <w:p>
      <w:pPr>
        <w:pStyle w:val="Heading2"/>
      </w:pPr>
      <w:r>
        <w:t xml:space="preserve">Criterion 1: Specificity</w:t>
      </w:r>
    </w:p>
    <w:p>
      <w:pPr>
        <w:spacing w:after="160"/>
      </w:pPr>
      <w:r>
        <w:rPr>
          <w:rFonts w:ascii="Arial" w:cs="Arial" w:eastAsia="Arial" w:hAnsi="Arial"/>
          <w:b/>
          <w:bCs/>
          <w:color w:val="0E3A4D"/>
          <w:sz w:val="22"/>
          <w:szCs w:val="22"/>
        </w:rPr>
        <w:t xml:space="preserve">The narrative adds concrete behavioral detail that no number can convey. </w:t>
      </w:r>
      <w:r>
        <w:rPr>
          <w:rFonts w:ascii="Arial" w:cs="Arial" w:eastAsia="Arial" w:hAnsi="Arial"/>
          <w:color w:val="3D4659"/>
          <w:sz w:val="22"/>
          <w:szCs w:val="22"/>
        </w:rPr>
        <w:t xml:space="preserve">A score of 46 tells you position. “In 3 of 5 interactions, clients couldn’t name what they pay” tells you something the 46 never could. This is the domain of Observational Evidence — concrete, behavioral, unreplicable detail.</w:t>
      </w:r>
    </w:p>
    <w:p>
      <w:pPr>
        <w:spacing w:after="160"/>
      </w:pPr>
      <w:r>
        <w:rPr>
          <w:rFonts w:ascii="Arial" w:cs="Arial" w:eastAsia="Arial" w:hAnsi="Arial"/>
          <w:b/>
          <w:bCs/>
          <w:color w:val="1B5E7B"/>
          <w:sz w:val="22"/>
          <w:szCs w:val="22"/>
        </w:rPr>
        <w:t xml:space="preserve">Test: </w:t>
      </w:r>
      <w:r>
        <w:rPr>
          <w:rFonts w:ascii="Arial" w:cs="Arial" w:eastAsia="Arial" w:hAnsi="Arial"/>
          <w:color w:val="3D4659"/>
          <w:sz w:val="22"/>
          <w:szCs w:val="22"/>
        </w:rPr>
        <w:t xml:space="preserve">Could I replace this text with a number, badge, or visual indicator without losing critical information? If yes, use the data element. If no, the text earns its space.</w:t>
      </w:r>
    </w:p>
    <w:p>
      <w:pPr>
        <w:spacing w:after="60"/>
      </w:pPr>
    </w:p>
    <w:p>
      <w:pPr>
        <w:pStyle w:val="Heading2"/>
      </w:pPr>
      <w:r>
        <w:t xml:space="preserve">Criterion 2: Emotion</w:t>
      </w:r>
    </w:p>
    <w:p>
      <w:pPr>
        <w:spacing w:after="160"/>
      </w:pPr>
      <w:r>
        <w:rPr>
          <w:rFonts w:ascii="Arial" w:cs="Arial" w:eastAsia="Arial" w:hAnsi="Arial"/>
          <w:b/>
          <w:bCs/>
          <w:color w:val="0E3A4D"/>
          <w:sz w:val="22"/>
          <w:szCs w:val="22"/>
        </w:rPr>
        <w:t xml:space="preserve">The narrative creates a human response that data cannot trigger. </w:t>
      </w:r>
      <w:r>
        <w:rPr>
          <w:rFonts w:ascii="Arial" w:cs="Arial" w:eastAsia="Arial" w:hAnsi="Arial"/>
          <w:color w:val="3D4659"/>
          <w:sz w:val="22"/>
          <w:szCs w:val="22"/>
        </w:rPr>
        <w:t xml:space="preserve">“I assume he’s competitive but I’ve never checked” makes the advisor feel something a red badge never will. This is the domain of Client Perspective — the visceral, human moment.</w:t>
      </w:r>
    </w:p>
    <w:p>
      <w:pPr>
        <w:spacing w:after="160"/>
      </w:pPr>
      <w:r>
        <w:rPr>
          <w:rFonts w:ascii="Arial" w:cs="Arial" w:eastAsia="Arial" w:hAnsi="Arial"/>
          <w:b/>
          <w:bCs/>
          <w:color w:val="1B5E7B"/>
          <w:sz w:val="22"/>
          <w:szCs w:val="22"/>
        </w:rPr>
        <w:t xml:space="preserve">Test: </w:t>
      </w:r>
      <w:r>
        <w:rPr>
          <w:rFonts w:ascii="Arial" w:cs="Arial" w:eastAsia="Arial" w:hAnsi="Arial"/>
          <w:color w:val="3D4659"/>
          <w:sz w:val="22"/>
          <w:szCs w:val="22"/>
        </w:rPr>
        <w:t xml:space="preserve">Does this make the advisor feel concerned, proud, or motivated in a way the surrounding data elements don’t already achieve? If the data already creates the emotional response (a 98 score with a green badge already feels like a win), the narrative is redundant.</w:t>
      </w:r>
    </w:p>
    <w:p>
      <w:pPr>
        <w:spacing w:after="60"/>
      </w:pPr>
    </w:p>
    <w:p>
      <w:pPr>
        <w:pStyle w:val="Heading2"/>
      </w:pPr>
      <w:r>
        <w:t xml:space="preserve">Criterion 3: Direction</w:t>
      </w:r>
    </w:p>
    <w:p>
      <w:pPr>
        <w:spacing w:after="160"/>
      </w:pPr>
      <w:r>
        <w:rPr>
          <w:rFonts w:ascii="Arial" w:cs="Arial" w:eastAsia="Arial" w:hAnsi="Arial"/>
          <w:b/>
          <w:bCs/>
          <w:color w:val="0E3A4D"/>
          <w:sz w:val="22"/>
          <w:szCs w:val="22"/>
        </w:rPr>
        <w:t xml:space="preserve">The narrative tells the advisor what to do, or what ‘good’ looks like, in a way no number expresses. </w:t>
      </w:r>
      <w:r>
        <w:rPr>
          <w:rFonts w:ascii="Arial" w:cs="Arial" w:eastAsia="Arial" w:hAnsi="Arial"/>
          <w:color w:val="3D4659"/>
          <w:sz w:val="22"/>
          <w:szCs w:val="22"/>
        </w:rPr>
        <w:t xml:space="preserve">“89% of top-5% advisors discuss fee comparisons during onboarding” gives the score meaning by showing what closing the gap actually looks like in practice. This is the domain of Behavioral Benchmarks and Recommendations.</w:t>
      </w:r>
    </w:p>
    <w:p>
      <w:pPr>
        <w:spacing w:after="160"/>
      </w:pPr>
      <w:r>
        <w:rPr>
          <w:rFonts w:ascii="Arial" w:cs="Arial" w:eastAsia="Arial" w:hAnsi="Arial"/>
          <w:b/>
          <w:bCs/>
          <w:color w:val="1B5E7B"/>
          <w:sz w:val="22"/>
          <w:szCs w:val="22"/>
        </w:rPr>
        <w:t xml:space="preserve">Test: </w:t>
      </w:r>
      <w:r>
        <w:rPr>
          <w:rFonts w:ascii="Arial" w:cs="Arial" w:eastAsia="Arial" w:hAnsi="Arial"/>
          <w:color w:val="3D4659"/>
          <w:sz w:val="22"/>
          <w:szCs w:val="22"/>
        </w:rPr>
        <w:t xml:space="preserve">After reading this, does the advisor know something actionable they didn’t know from the data alone? If the narrative just restates what the score already shows (“your fee score needs improvement”), it fails.</w:t>
      </w:r>
    </w:p>
    <w:p>
      <w:r>
        <w:br w:type="page"/>
      </w:r>
    </w:p>
    <w:p>
      <w:pPr>
        <w:pStyle w:val="Heading1"/>
      </w:pPr>
      <w:r>
        <w:t xml:space="preserve">The Visual Sequence Rule</w:t>
      </w:r>
    </w:p>
    <w:p>
      <w:pPr>
        <w:spacing w:after="160"/>
      </w:pPr>
      <w:r>
        <w:rPr>
          <w:rFonts w:ascii="Arial" w:cs="Arial" w:eastAsia="Arial" w:hAnsi="Arial"/>
          <w:color w:val="3D4659"/>
          <w:sz w:val="22"/>
          <w:szCs w:val="22"/>
        </w:rPr>
        <w:t xml:space="preserve">In every component, data elements must appear before narrative elements in the visual reading order. The advisor’s eye should land on quantitative information first, then find narrative context after they’ve oriented themselves with the numbers.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6E7A8F" w:sz="8"/>
              <w:bottom w:val="single" w:color="D0D7E0" w:sz="1"/>
              <w:right w:val="single" w:color="D0D7E0" w:sz="1"/>
            </w:tcBorders>
            <w:shd w:fill="F5F7FA" w:val="clear"/>
            <w:tcMar>
              <w:top w:type="dxa" w:w="120"/>
              <w:left w:type="dxa" w:w="200"/>
              <w:bottom w:type="dxa" w:w="120"/>
              <w:right w:type="dxa" w:w="200"/>
            </w:tcMar>
          </w:tcPr>
          <w:p>
            <w:pPr>
              <w:spacing w:after="80"/>
            </w:pPr>
            <w:r>
              <w:rPr>
                <w:rFonts w:ascii="Arial" w:cs="Arial" w:eastAsia="Arial" w:hAnsi="Arial"/>
                <w:b/>
                <w:bCs/>
                <w:color w:val="0E3A4D"/>
                <w:spacing w:val="60"/>
                <w:sz w:val="16"/>
                <w:szCs w:val="16"/>
              </w:rPr>
              <w:t xml:space="preserve">THE SEQUENCE</w:t>
            </w:r>
          </w:p>
          <w:p>
            <w:pPr>
              <w:spacing w:after="60"/>
            </w:pPr>
            <w:r>
              <w:rPr>
                <w:rFonts w:ascii="Arial" w:cs="Arial" w:eastAsia="Arial" w:hAnsi="Arial"/>
                <w:b/>
                <w:bCs/>
                <w:color w:val="0E3A4D"/>
                <w:sz w:val="22"/>
                <w:szCs w:val="22"/>
              </w:rPr>
              <w:t xml:space="preserve">1. Identity + Score </w:t>
            </w:r>
            <w:r>
              <w:rPr>
                <w:rFonts w:ascii="Arial" w:cs="Arial" w:eastAsia="Arial" w:hAnsi="Arial"/>
                <w:color w:val="3D4659"/>
                <w:sz w:val="22"/>
                <w:szCs w:val="22"/>
              </w:rPr>
              <w:t xml:space="preserve">— Name, number, band. Immediate orientation.</w:t>
            </w:r>
          </w:p>
          <w:p>
            <w:pPr>
              <w:spacing w:after="60"/>
            </w:pPr>
            <w:r>
              <w:rPr>
                <w:rFonts w:ascii="Arial" w:cs="Arial" w:eastAsia="Arial" w:hAnsi="Arial"/>
                <w:b/>
                <w:bCs/>
                <w:color w:val="0E3A4D"/>
                <w:sz w:val="22"/>
                <w:szCs w:val="22"/>
              </w:rPr>
              <w:t xml:space="preserve">2. Comparative Data </w:t>
            </w:r>
            <w:r>
              <w:rPr>
                <w:rFonts w:ascii="Arial" w:cs="Arial" w:eastAsia="Arial" w:hAnsi="Arial"/>
                <w:color w:val="3D4659"/>
                <w:sz w:val="22"/>
                <w:szCs w:val="22"/>
              </w:rPr>
              <w:t xml:space="preserve">— Gaps, percentile, benchmarks as numbers. Creates tension or validation.</w:t>
            </w:r>
          </w:p>
          <w:p>
            <w:pPr>
              <w:spacing w:after="60"/>
            </w:pPr>
            <w:r>
              <w:rPr>
                <w:rFonts w:ascii="Arial" w:cs="Arial" w:eastAsia="Arial" w:hAnsi="Arial"/>
                <w:b/>
                <w:bCs/>
                <w:color w:val="0E3A4D"/>
                <w:sz w:val="22"/>
                <w:szCs w:val="22"/>
              </w:rPr>
              <w:t xml:space="preserve">3. Intelligence Narrative </w:t>
            </w:r>
            <w:r>
              <w:rPr>
                <w:rFonts w:ascii="Arial" w:cs="Arial" w:eastAsia="Arial" w:hAnsi="Arial"/>
                <w:color w:val="3D4659"/>
                <w:sz w:val="22"/>
                <w:szCs w:val="22"/>
              </w:rPr>
              <w:t xml:space="preserve">— One treatment block that answers the “so what” created by the data above it.</w:t>
            </w:r>
          </w:p>
          <w:p>
            <w:pPr>
              <w:spacing w:after="0"/>
            </w:pPr>
            <w:r>
              <w:rPr>
                <w:rFonts w:ascii="Arial" w:cs="Arial" w:eastAsia="Arial" w:hAnsi="Arial"/>
                <w:b/>
                <w:bCs/>
                <w:color w:val="0E3A4D"/>
                <w:sz w:val="22"/>
                <w:szCs w:val="22"/>
              </w:rPr>
              <w:t xml:space="preserve">4. Expand for Depth </w:t>
            </w:r>
            <w:r>
              <w:rPr>
                <w:rFonts w:ascii="Arial" w:cs="Arial" w:eastAsia="Arial" w:hAnsi="Arial"/>
                <w:color w:val="3D4659"/>
                <w:sz w:val="22"/>
                <w:szCs w:val="22"/>
              </w:rPr>
              <w:t xml:space="preserve">— Additional intelligence on demand. Never by default.</w:t>
            </w:r>
          </w:p>
        </w:tc>
      </w:tr>
    </w:tbl>
    <w:p>
      <w:pPr>
        <w:spacing w:after="100"/>
      </w:pPr>
    </w:p>
    <w:p>
      <w:pPr>
        <w:spacing w:after="160"/>
      </w:pPr>
      <w:r>
        <w:rPr>
          <w:rFonts w:ascii="Arial" w:cs="Arial" w:eastAsia="Arial" w:hAnsi="Arial"/>
          <w:b/>
          <w:bCs/>
          <w:color w:val="0E3A4D"/>
          <w:sz w:val="22"/>
          <w:szCs w:val="22"/>
        </w:rPr>
        <w:t xml:space="preserve">This sequence applies at every scale: </w:t>
      </w:r>
      <w:r>
        <w:rPr>
          <w:rFonts w:ascii="Arial" w:cs="Arial" w:eastAsia="Arial" w:hAnsi="Arial"/>
          <w:color w:val="3D4659"/>
          <w:sz w:val="22"/>
          <w:szCs w:val="22"/>
        </w:rPr>
        <w:t xml:space="preserve">the hero section, the priority section, the module cards, and the strength items. Data orients. Narrative rewards. Depth is available. The advisor controls how deep they go.</w:t>
      </w:r>
    </w:p>
    <w:p>
      <w:r>
        <w:br w:type="page"/>
      </w:r>
    </w:p>
    <w:p>
      <w:pPr>
        <w:pStyle w:val="Heading1"/>
      </w:pPr>
      <w:r>
        <w:t xml:space="preserve">The Intelligence Budget</w:t>
      </w:r>
    </w:p>
    <w:p>
      <w:pPr>
        <w:spacing w:after="160"/>
      </w:pPr>
      <w:r>
        <w:rPr>
          <w:rFonts w:ascii="Arial" w:cs="Arial" w:eastAsia="Arial" w:hAnsi="Arial"/>
          <w:color w:val="3D4659"/>
          <w:sz w:val="22"/>
          <w:szCs w:val="22"/>
        </w:rPr>
        <w:t xml:space="preserve">Each section of the hub page has a defined budget for narrative content. The budget is expressed as a maximum number of narrative blocks visible by default (before any expansion), and a target ratio of data elements to narrative elements.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100"/>
        <w:gridCol w:w="1200"/>
        <w:gridCol w:w="2620"/>
      </w:tblGrid>
      <w:tr>
        <w:tc>
          <w:tcPr>
            <w:tcW w:type="dxa" w:w="17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19"/>
                <w:szCs w:val="19"/>
              </w:rPr>
              <w:t xml:space="preserve">Section</w:t>
            </w:r>
          </w:p>
        </w:tc>
        <w:tc>
          <w:tcPr>
            <w:tcW w:type="dxa" w:w="21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19"/>
                <w:szCs w:val="19"/>
              </w:rPr>
              <w:t xml:space="preserve">Data Elements</w:t>
            </w:r>
          </w:p>
        </w:tc>
        <w:tc>
          <w:tcPr>
            <w:tcW w:type="dxa" w:w="21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19"/>
                <w:szCs w:val="19"/>
              </w:rPr>
              <w:t xml:space="preserve">Narrative Elements</w:t>
            </w:r>
          </w:p>
        </w:tc>
        <w:tc>
          <w:tcPr>
            <w:tcW w:type="dxa" w:w="120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19"/>
                <w:szCs w:val="19"/>
              </w:rPr>
              <w:t xml:space="preserve">Target Ratio</w:t>
            </w:r>
          </w:p>
        </w:tc>
        <w:tc>
          <w:tcPr>
            <w:tcW w:type="dxa" w:w="262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19"/>
                <w:szCs w:val="19"/>
              </w:rPr>
              <w:t xml:space="preserve">Governing Rule</w:t>
            </w:r>
          </w:p>
        </w:tc>
      </w:tr>
      <w:tr>
        <w:tc>
          <w:tcPr>
            <w:tcW w:type="dxa" w:w="17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3D4659"/>
                <w:sz w:val="20"/>
                <w:szCs w:val="20"/>
              </w:rPr>
              <w:t xml:space="preserve">Hero</w:t>
            </w:r>
          </w:p>
        </w:tc>
        <w:tc>
          <w:tcPr>
            <w:tcW w:type="dxa" w:w="21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20"/>
                <w:szCs w:val="20"/>
              </w:rPr>
              <w:t xml:space="preserve">Score, gaps (x2), percentile, bar, journey progress</w:t>
            </w:r>
          </w:p>
        </w:tc>
        <w:tc>
          <w:tcPr>
            <w:tcW w:type="dxa" w:w="21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20"/>
                <w:szCs w:val="20"/>
              </w:rPr>
              <w:t xml:space="preserve">Verdict (1–2 sentences), Focus recommendation (1 sentence)</w:t>
            </w:r>
          </w:p>
        </w:tc>
        <w:tc>
          <w:tcPr>
            <w:tcW w:type="dxa" w:w="12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1B5E7B"/>
                <w:sz w:val="20"/>
                <w:szCs w:val="20"/>
              </w:rPr>
              <w:t xml:space="preserve">6:2</w:t>
            </w:r>
          </w:p>
        </w:tc>
        <w:tc>
          <w:tcPr>
            <w:tcW w:type="dxa" w:w="262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19"/>
                <w:szCs w:val="19"/>
              </w:rPr>
              <w:t xml:space="preserve">Six data elements anchor the section. Two narrative blocks interpret them. Advisor scans data first, narrative lands after.</w:t>
            </w:r>
          </w:p>
        </w:tc>
      </w:tr>
      <w:tr>
        <w:tc>
          <w:tcPr>
            <w:tcW w:type="dxa" w:w="17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3D4659"/>
                <w:sz w:val="20"/>
                <w:szCs w:val="20"/>
              </w:rPr>
              <w:t xml:space="preserve">Priority</w:t>
            </w:r>
          </w:p>
        </w:tc>
        <w:tc>
          <w:tcPr>
            <w:tcW w:type="dxa" w:w="21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val="false"/>
                <w:bCs w:val="false"/>
                <w:color w:val="3D4659"/>
                <w:sz w:val="20"/>
                <w:szCs w:val="20"/>
              </w:rPr>
              <w:t xml:space="preserve">Score, band, gaps (x2), data point bars (expandable)</w:t>
            </w:r>
          </w:p>
        </w:tc>
        <w:tc>
          <w:tcPr>
            <w:tcW w:type="dxa" w:w="21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val="false"/>
                <w:bCs w:val="false"/>
                <w:color w:val="3D4659"/>
                <w:sz w:val="20"/>
                <w:szCs w:val="20"/>
              </w:rPr>
              <w:t xml:space="preserve">ONE intelligence block visible by default. Others behind expand.</w:t>
            </w:r>
          </w:p>
        </w:tc>
        <w:tc>
          <w:tcPr>
            <w:tcW w:type="dxa" w:w="12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val="false"/>
                <w:bCs w:val="false"/>
                <w:color w:val="1B5E7B"/>
                <w:sz w:val="20"/>
                <w:szCs w:val="20"/>
              </w:rPr>
              <w:t xml:space="preserve">5:1*</w:t>
            </w:r>
          </w:p>
        </w:tc>
        <w:tc>
          <w:tcPr>
            <w:tcW w:type="dxa" w:w="262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val="false"/>
                <w:bCs w:val="false"/>
                <w:color w:val="3D4659"/>
                <w:sz w:val="19"/>
                <w:szCs w:val="19"/>
              </w:rPr>
              <w:t xml:space="preserve">Data strip creates urgency. One narrative block delivers the gut-punch. Observation, client voice, benchmark available on expand.</w:t>
            </w:r>
          </w:p>
        </w:tc>
      </w:tr>
      <w:tr>
        <w:tc>
          <w:tcPr>
            <w:tcW w:type="dxa" w:w="17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3D4659"/>
                <w:sz w:val="20"/>
                <w:szCs w:val="20"/>
              </w:rPr>
              <w:t xml:space="preserve">Module Cards</w:t>
            </w:r>
          </w:p>
        </w:tc>
        <w:tc>
          <w:tcPr>
            <w:tcW w:type="dxa" w:w="21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20"/>
                <w:szCs w:val="20"/>
              </w:rPr>
              <w:t xml:space="preserve">Score, band, gaps, subtitle fragment</w:t>
            </w:r>
          </w:p>
        </w:tc>
        <w:tc>
          <w:tcPr>
            <w:tcW w:type="dxa" w:w="21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20"/>
                <w:szCs w:val="20"/>
              </w:rPr>
              <w:t xml:space="preserve">ONE intelligence sentence visible. Client voice on expand only.</w:t>
            </w:r>
          </w:p>
        </w:tc>
        <w:tc>
          <w:tcPr>
            <w:tcW w:type="dxa" w:w="12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1B5E7B"/>
                <w:sz w:val="20"/>
                <w:szCs w:val="20"/>
              </w:rPr>
              <w:t xml:space="preserve">4:1</w:t>
            </w:r>
          </w:p>
        </w:tc>
        <w:tc>
          <w:tcPr>
            <w:tcW w:type="dxa" w:w="262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19"/>
                <w:szCs w:val="19"/>
              </w:rPr>
              <w:t xml:space="preserve">Cards are scannable by default. Intelligence is the reward for stopping to look at a specific card.</w:t>
            </w:r>
          </w:p>
        </w:tc>
      </w:tr>
      <w:tr>
        <w:tc>
          <w:tcPr>
            <w:tcW w:type="dxa" w:w="17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3D4659"/>
                <w:sz w:val="20"/>
                <w:szCs w:val="20"/>
              </w:rPr>
              <w:t xml:space="preserve">Strengths</w:t>
            </w:r>
          </w:p>
        </w:tc>
        <w:tc>
          <w:tcPr>
            <w:tcW w:type="dxa" w:w="21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val="false"/>
                <w:bCs w:val="false"/>
                <w:color w:val="3D4659"/>
                <w:sz w:val="20"/>
                <w:szCs w:val="20"/>
              </w:rPr>
              <w:t xml:space="preserve">Score, gap to top, practice area label</w:t>
            </w:r>
          </w:p>
        </w:tc>
        <w:tc>
          <w:tcPr>
            <w:tcW w:type="dxa" w:w="21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val="false"/>
                <w:bCs w:val="false"/>
                <w:color w:val="3D4659"/>
                <w:sz w:val="20"/>
                <w:szCs w:val="20"/>
              </w:rPr>
              <w:t xml:space="preserve">ONE leverage sentence per item.</w:t>
            </w:r>
          </w:p>
        </w:tc>
        <w:tc>
          <w:tcPr>
            <w:tcW w:type="dxa" w:w="120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val="false"/>
                <w:bCs w:val="false"/>
                <w:color w:val="1B5E7B"/>
                <w:sz w:val="20"/>
                <w:szCs w:val="20"/>
              </w:rPr>
              <w:t xml:space="preserve">3:1</w:t>
            </w:r>
          </w:p>
        </w:tc>
        <w:tc>
          <w:tcPr>
            <w:tcW w:type="dxa" w:w="262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val="false"/>
                <w:bCs w:val="false"/>
                <w:color w:val="3D4659"/>
                <w:sz w:val="19"/>
                <w:szCs w:val="19"/>
              </w:rPr>
              <w:t xml:space="preserve">Strength items run tight. One sentence of actionable intelligence per strength, no more.</w:t>
            </w:r>
          </w:p>
        </w:tc>
      </w:tr>
      <w:tr>
        <w:tc>
          <w:tcPr>
            <w:tcW w:type="dxa" w:w="17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3D4659"/>
                <w:sz w:val="20"/>
                <w:szCs w:val="20"/>
              </w:rPr>
              <w:t xml:space="preserve">Cross-Practice</w:t>
            </w:r>
          </w:p>
        </w:tc>
        <w:tc>
          <w:tcPr>
            <w:tcW w:type="dxa" w:w="21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20"/>
                <w:szCs w:val="20"/>
              </w:rPr>
              <w:t xml:space="preserve">Progress bar, area count</w:t>
            </w:r>
          </w:p>
        </w:tc>
        <w:tc>
          <w:tcPr>
            <w:tcW w:type="dxa" w:w="21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20"/>
                <w:szCs w:val="20"/>
              </w:rPr>
              <w:t xml:space="preserve">Description paragraph, preview labels</w:t>
            </w:r>
          </w:p>
        </w:tc>
        <w:tc>
          <w:tcPr>
            <w:tcW w:type="dxa" w:w="120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1B5E7B"/>
                <w:sz w:val="20"/>
                <w:szCs w:val="20"/>
              </w:rPr>
              <w:t xml:space="preserve">2:3</w:t>
            </w:r>
          </w:p>
        </w:tc>
        <w:tc>
          <w:tcPr>
            <w:tcW w:type="dxa" w:w="262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val="false"/>
                <w:bCs w:val="false"/>
                <w:color w:val="3D4659"/>
                <w:sz w:val="19"/>
                <w:szCs w:val="19"/>
              </w:rPr>
              <w:t xml:space="preserve">Exception: this section is inherently narrative because it’s previewing future intelligence. Ratio inverts here intentionally.</w:t>
            </w:r>
          </w:p>
        </w:tc>
      </w:tr>
    </w:tbl>
    <w:p>
      <w:pPr>
        <w:spacing w:after="60"/>
      </w:pPr>
    </w:p>
    <w:p>
      <w:pPr>
        <w:spacing w:after="160"/>
      </w:pPr>
      <w:r>
        <w:rPr>
          <w:rFonts w:ascii="Arial" w:cs="Arial" w:eastAsia="Arial" w:hAnsi="Arial"/>
          <w:b/>
          <w:bCs/>
          <w:color w:val="0E3A4D"/>
          <w:sz w:val="22"/>
          <w:szCs w:val="22"/>
        </w:rPr>
        <w:t xml:space="preserve">* Priority section note: </w:t>
      </w:r>
      <w:r>
        <w:rPr>
          <w:rFonts w:ascii="Arial" w:cs="Arial" w:eastAsia="Arial" w:hAnsi="Arial"/>
          <w:color w:val="3D4659"/>
          <w:sz w:val="22"/>
          <w:szCs w:val="22"/>
        </w:rPr>
        <w:t xml:space="preserve">The 5:1 ratio is the default view. When expanded, the priority section reveals all five treatment types at full intensity — this is the one place on the hub where the advisor has explicitly opted into depth, so the ratio inverts to approximately 1:1. The key is that they chose to go there.</w:t>
      </w:r>
    </w:p>
    <w:p>
      <w:pPr>
        <w:spacing w:after="120"/>
      </w:pPr>
    </w:p>
    <w:p>
      <w:pPr>
        <w:pStyle w:val="Heading1"/>
      </w:pPr>
      <w:r>
        <w:t xml:space="preserve">The One-Block Rule</w:t>
      </w:r>
    </w:p>
    <w:p>
      <w:pPr>
        <w:spacing w:after="160"/>
      </w:pPr>
      <w:r>
        <w:rPr>
          <w:rFonts w:ascii="Arial" w:cs="Arial" w:eastAsia="Arial" w:hAnsi="Arial"/>
          <w:color w:val="3D4659"/>
          <w:sz w:val="22"/>
          <w:szCs w:val="22"/>
        </w:rPr>
        <w:t xml:space="preserve">The single most important constraint in the framework: every section and component displays a maximum of one narrative intelligence block in its default, unexpanded state.</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C23B2E" w:sz="8"/>
              <w:bottom w:val="single" w:color="D0D7E0" w:sz="1"/>
              <w:right w:val="single" w:color="D0D7E0" w:sz="1"/>
            </w:tcBorders>
            <w:shd w:fill="FDF0EF" w:val="clear"/>
            <w:tcMar>
              <w:top w:type="dxa" w:w="120"/>
              <w:left w:type="dxa" w:w="200"/>
              <w:bottom w:type="dxa" w:w="120"/>
              <w:right w:type="dxa" w:w="200"/>
            </w:tcMar>
          </w:tcPr>
          <w:p>
            <w:pPr>
              <w:spacing w:after="80"/>
            </w:pPr>
            <w:r>
              <w:rPr>
                <w:rFonts w:ascii="Arial" w:cs="Arial" w:eastAsia="Arial" w:hAnsi="Arial"/>
                <w:b/>
                <w:bCs/>
                <w:color w:val="C23B2E"/>
                <w:spacing w:val="60"/>
                <w:sz w:val="16"/>
                <w:szCs w:val="16"/>
              </w:rPr>
              <w:t xml:space="preserve">THE V5 MISTAKE</w:t>
            </w:r>
          </w:p>
          <w:p>
            <w:pPr>
              <w:spacing w:after="0"/>
            </w:pPr>
            <w:r>
              <w:rPr>
                <w:rFonts w:ascii="Arial" w:cs="Arial" w:eastAsia="Arial" w:hAnsi="Arial"/>
                <w:color w:val="3D4659"/>
                <w:sz w:val="21"/>
                <w:szCs w:val="21"/>
              </w:rPr>
              <w:t xml:space="preserve">The priority section stacked three narrative blocks by default (Observation + Client Voice + Benchmark). Each individually earned its space. Together, they formed a wall of text that competed with each other and reduced the impact of all three. The advisor’s eye had nowhere to anchor because everything demanded the same attention.</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A7A45" w:sz="8"/>
              <w:bottom w:val="single" w:color="D0D7E0" w:sz="1"/>
              <w:right w:val="single" w:color="D0D7E0" w:sz="1"/>
            </w:tcBorders>
            <w:shd w:fill="EDFAF2" w:val="clear"/>
            <w:tcMar>
              <w:top w:type="dxa" w:w="120"/>
              <w:left w:type="dxa" w:w="200"/>
              <w:bottom w:type="dxa" w:w="120"/>
              <w:right w:type="dxa" w:w="200"/>
            </w:tcMar>
          </w:tcPr>
          <w:p>
            <w:pPr>
              <w:spacing w:after="80"/>
            </w:pPr>
            <w:r>
              <w:rPr>
                <w:rFonts w:ascii="Arial" w:cs="Arial" w:eastAsia="Arial" w:hAnsi="Arial"/>
                <w:b/>
                <w:bCs/>
                <w:color w:val="1A7A45"/>
                <w:spacing w:val="60"/>
                <w:sz w:val="16"/>
                <w:szCs w:val="16"/>
              </w:rPr>
              <w:t xml:space="preserve">THE FIX</w:t>
            </w:r>
          </w:p>
          <w:p>
            <w:pPr>
              <w:spacing w:after="0"/>
            </w:pPr>
            <w:r>
              <w:rPr>
                <w:rFonts w:ascii="Arial" w:cs="Arial" w:eastAsia="Arial" w:hAnsi="Arial"/>
                <w:color w:val="3D4659"/>
                <w:sz w:val="21"/>
                <w:szCs w:val="21"/>
              </w:rPr>
              <w:t xml:space="preserve">Pick the ONE narrative treatment that does the most work for each section’s emotional job. Display that one by default. Put the others behind an expand interaction. The advisor who wants depth gets it. The advisor who’s scanning gets data.</w:t>
            </w:r>
          </w:p>
        </w:tc>
      </w:tr>
    </w:tbl>
    <w:p>
      <w:pPr>
        <w:spacing w:after="100"/>
      </w:pPr>
    </w:p>
    <w:p>
      <w:pPr>
        <w:pStyle w:val="Heading2"/>
      </w:pPr>
      <w:r>
        <w:t xml:space="preserve">Which One Block Per Section?</w:t>
      </w:r>
    </w:p>
    <w:p>
      <w:pPr>
        <w:spacing w:after="160"/>
      </w:pPr>
      <w:r>
        <w:rPr>
          <w:rFonts w:ascii="Arial" w:cs="Arial" w:eastAsia="Arial" w:hAnsi="Arial"/>
          <w:color w:val="3D4659"/>
          <w:sz w:val="22"/>
          <w:szCs w:val="22"/>
        </w:rPr>
        <w:t xml:space="preserve">The choice of which treatment to surface by default is driven by the section’s emotional job, as defined in the Intelligence Treatment Framework.</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48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Default Narrative Block</w:t>
            </w:r>
          </w:p>
        </w:tc>
      </w:tr>
      <w:tr>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1"/>
                <w:szCs w:val="21"/>
              </w:rPr>
              <w:t xml:space="preserve">Hero</w:t>
            </w:r>
          </w:p>
        </w:tc>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1B5E7B"/>
                <w:sz w:val="21"/>
                <w:szCs w:val="21"/>
              </w:rPr>
              <w:t xml:space="preserve">Diagnostic Verdict</w:t>
            </w:r>
            <w:r>
              <w:rPr>
                <w:rFonts w:ascii="Arial" w:cs="Arial" w:eastAsia="Arial" w:hAnsi="Arial"/>
                <w:color w:val="3D4659"/>
                <w:sz w:val="20"/>
                <w:szCs w:val="20"/>
              </w:rPr>
              <w:t xml:space="preserve"> — Connects the numbers above to business meaning. Answers “what does my 80 mean?”</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0E3A4D"/>
                <w:sz w:val="21"/>
                <w:szCs w:val="21"/>
              </w:rPr>
              <w:t xml:space="preserve">Priority / Attention</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C6973B"/>
                <w:sz w:val="21"/>
                <w:szCs w:val="21"/>
              </w:rPr>
              <w:t xml:space="preserve">Client Perspective</w:t>
            </w:r>
            <w:r>
              <w:rPr>
                <w:rFonts w:ascii="Arial" w:cs="Arial" w:eastAsia="Arial" w:hAnsi="Arial"/>
                <w:color w:val="3D4659"/>
                <w:sz w:val="20"/>
                <w:szCs w:val="20"/>
              </w:rPr>
              <w:t xml:space="preserve"> — The emotional gut-punch. No other treatment creates urgency like hearing your client’s actual words after seeing a 46 score.</w:t>
            </w:r>
          </w:p>
        </w:tc>
      </w:tr>
      <w:tr>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0E3A4D"/>
                <w:sz w:val="21"/>
                <w:szCs w:val="21"/>
              </w:rPr>
              <w:t xml:space="preserve">Module Cards</w:t>
            </w:r>
          </w:p>
        </w:tc>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b/>
                <w:bCs/>
                <w:color w:val="1B5E7B"/>
                <w:sz w:val="21"/>
                <w:szCs w:val="21"/>
              </w:rPr>
              <w:t xml:space="preserve">Diagnostic Narrative</w:t>
            </w:r>
            <w:r>
              <w:rPr>
                <w:rFonts w:ascii="Arial" w:cs="Arial" w:eastAsia="Arial" w:hAnsi="Arial"/>
                <w:color w:val="3D4659"/>
                <w:sz w:val="20"/>
                <w:szCs w:val="20"/>
              </w:rPr>
              <w:t xml:space="preserve"> — One sentence explaining what the score means. Client voice and data points on expand.</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0E3A4D"/>
                <w:sz w:val="21"/>
                <w:szCs w:val="21"/>
              </w:rPr>
              <w:t xml:space="preserve">Strength Items</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b/>
                <w:bCs/>
                <w:color w:val="1A7A45"/>
                <w:sz w:val="21"/>
                <w:szCs w:val="21"/>
              </w:rPr>
              <w:t xml:space="preserve">Leverage Narrative</w:t>
            </w:r>
            <w:r>
              <w:rPr>
                <w:rFonts w:ascii="Arial" w:cs="Arial" w:eastAsia="Arial" w:hAnsi="Arial"/>
                <w:color w:val="3D4659"/>
                <w:sz w:val="20"/>
                <w:szCs w:val="20"/>
              </w:rPr>
              <w:t xml:space="preserve"> — One sentence framing the strength as an asset to capitalize on. Action-oriented.</w:t>
            </w:r>
          </w:p>
        </w:tc>
      </w:tr>
    </w:tbl>
    <w:p>
      <w:r>
        <w:br w:type="page"/>
      </w:r>
    </w:p>
    <w:p>
      <w:pPr>
        <w:pStyle w:val="Heading1"/>
      </w:pPr>
      <w:r>
        <w:t xml:space="preserve">Priority Section: The Expand Architecture</w:t>
      </w:r>
    </w:p>
    <w:p>
      <w:pPr>
        <w:spacing w:after="160"/>
      </w:pPr>
      <w:r>
        <w:rPr>
          <w:rFonts w:ascii="Arial" w:cs="Arial" w:eastAsia="Arial" w:hAnsi="Arial"/>
          <w:color w:val="3D4659"/>
          <w:sz w:val="22"/>
          <w:szCs w:val="22"/>
        </w:rPr>
        <w:t xml:space="preserve">The priority section is the one place where all five treatment types appear. But they no longer stack vertically by default. Instead, the section uses a progressive disclosure model with the data strip and one narrative block as the default, and a tabbed or stacked expand zone for the remaining treatments.</w:t>
      </w:r>
    </w:p>
    <w:p>
      <w:pPr>
        <w:spacing w:after="60"/>
      </w:pPr>
    </w:p>
    <w:p>
      <w:pPr>
        <w:pStyle w:val="Heading2"/>
      </w:pPr>
      <w:r>
        <w:t xml:space="preserve">Default State (Collapsed)</w:t>
      </w:r>
    </w:p>
    <w:p>
      <w:pPr>
        <w:pStyle w:val="ListParagraph"/>
        <w:numPr>
          <w:ilvl w:val="0"/>
          <w:numId w:val="2"/>
        </w:numPr>
        <w:spacing w:after="80"/>
      </w:pPr>
      <w:r>
        <w:rPr>
          <w:rFonts w:ascii="Arial" w:cs="Arial" w:eastAsia="Arial" w:hAnsi="Arial"/>
          <w:b/>
          <w:bCs/>
          <w:color w:val="0E3A4D"/>
          <w:sz w:val="22"/>
          <w:szCs w:val="22"/>
        </w:rPr>
        <w:t xml:space="preserve">Eyebrow: </w:t>
      </w:r>
      <w:r>
        <w:rPr>
          <w:rFonts w:ascii="Arial" w:cs="Arial" w:eastAsia="Arial" w:hAnsi="Arial"/>
          <w:color w:val="3D4659"/>
          <w:sz w:val="22"/>
          <w:szCs w:val="22"/>
        </w:rPr>
        <w:t xml:space="preserve">“Your biggest opportunity”</w:t>
      </w:r>
    </w:p>
    <w:p>
      <w:pPr>
        <w:pStyle w:val="ListParagraph"/>
        <w:numPr>
          <w:ilvl w:val="0"/>
          <w:numId w:val="2"/>
        </w:numPr>
        <w:spacing w:after="80"/>
      </w:pPr>
      <w:r>
        <w:rPr>
          <w:rFonts w:ascii="Arial" w:cs="Arial" w:eastAsia="Arial" w:hAnsi="Arial"/>
          <w:b/>
          <w:bCs/>
          <w:color w:val="0E3A4D"/>
          <w:sz w:val="22"/>
          <w:szCs w:val="22"/>
        </w:rPr>
        <w:t xml:space="preserve">Identity: </w:t>
      </w:r>
      <w:r>
        <w:rPr>
          <w:rFonts w:ascii="Arial" w:cs="Arial" w:eastAsia="Arial" w:hAnsi="Arial"/>
          <w:color w:val="3D4659"/>
          <w:sz w:val="22"/>
          <w:szCs w:val="22"/>
        </w:rPr>
        <w:t xml:space="preserve">Module name + subtitle fragment</w:t>
      </w:r>
    </w:p>
    <w:p>
      <w:pPr>
        <w:pStyle w:val="ListParagraph"/>
        <w:numPr>
          <w:ilvl w:val="0"/>
          <w:numId w:val="2"/>
        </w:numPr>
        <w:spacing w:after="80"/>
      </w:pPr>
      <w:r>
        <w:rPr>
          <w:rFonts w:ascii="Arial" w:cs="Arial" w:eastAsia="Arial" w:hAnsi="Arial"/>
          <w:b/>
          <w:bCs/>
          <w:color w:val="0E3A4D"/>
          <w:sz w:val="22"/>
          <w:szCs w:val="22"/>
        </w:rPr>
        <w:t xml:space="preserve">Score strip: </w:t>
      </w:r>
      <w:r>
        <w:rPr>
          <w:rFonts w:ascii="Arial" w:cs="Arial" w:eastAsia="Arial" w:hAnsi="Arial"/>
          <w:color w:val="3D4659"/>
          <w:sz w:val="22"/>
          <w:szCs w:val="22"/>
        </w:rPr>
        <w:t xml:space="preserve">Score, band badge, gap to top 5%, gap to average — all on one horizontal line</w:t>
      </w:r>
    </w:p>
    <w:p>
      <w:pPr>
        <w:pStyle w:val="ListParagraph"/>
        <w:numPr>
          <w:ilvl w:val="0"/>
          <w:numId w:val="2"/>
        </w:numPr>
        <w:spacing w:after="80"/>
      </w:pPr>
      <w:r>
        <w:rPr>
          <w:rFonts w:ascii="Arial" w:cs="Arial" w:eastAsia="Arial" w:hAnsi="Arial"/>
          <w:b/>
          <w:bCs/>
          <w:color w:val="0E3A4D"/>
          <w:sz w:val="22"/>
          <w:szCs w:val="22"/>
        </w:rPr>
        <w:t xml:space="preserve">ONE narrative block: </w:t>
      </w:r>
      <w:r>
        <w:rPr>
          <w:rFonts w:ascii="Arial" w:cs="Arial" w:eastAsia="Arial" w:hAnsi="Arial"/>
          <w:color w:val="3D4659"/>
          <w:sz w:val="22"/>
          <w:szCs w:val="22"/>
        </w:rPr>
        <w:t xml:space="preserve">Client Perspective quote in gold container — the emotional anchor</w:t>
      </w:r>
    </w:p>
    <w:p>
      <w:pPr>
        <w:pStyle w:val="ListParagraph"/>
        <w:numPr>
          <w:ilvl w:val="0"/>
          <w:numId w:val="2"/>
        </w:numPr>
        <w:spacing w:after="80"/>
      </w:pPr>
      <w:r>
        <w:rPr>
          <w:rFonts w:ascii="Arial" w:cs="Arial" w:eastAsia="Arial" w:hAnsi="Arial"/>
          <w:b/>
          <w:bCs/>
          <w:color w:val="0E3A4D"/>
          <w:sz w:val="22"/>
          <w:szCs w:val="22"/>
        </w:rPr>
        <w:t xml:space="preserve">Expand toggle: </w:t>
      </w:r>
      <w:r>
        <w:rPr>
          <w:rFonts w:ascii="Arial" w:cs="Arial" w:eastAsia="Arial" w:hAnsi="Arial"/>
          <w:color w:val="3D4659"/>
          <w:sz w:val="22"/>
          <w:szCs w:val="22"/>
        </w:rPr>
        <w:t xml:space="preserve">“What we found + recommendations” — signals depth without displaying it</w:t>
      </w:r>
    </w:p>
    <w:p>
      <w:pPr>
        <w:pStyle w:val="ListParagraph"/>
        <w:numPr>
          <w:ilvl w:val="0"/>
          <w:numId w:val="2"/>
        </w:numPr>
        <w:spacing w:after="80"/>
      </w:pPr>
      <w:r>
        <w:rPr>
          <w:rFonts w:ascii="Arial" w:cs="Arial" w:eastAsia="Arial" w:hAnsi="Arial"/>
          <w:b/>
          <w:bCs/>
          <w:color w:val="0E3A4D"/>
          <w:sz w:val="22"/>
          <w:szCs w:val="22"/>
        </w:rPr>
        <w:t xml:space="preserve">Link: </w:t>
      </w:r>
      <w:r>
        <w:rPr>
          <w:rFonts w:ascii="Arial" w:cs="Arial" w:eastAsia="Arial" w:hAnsi="Arial"/>
          <w:color w:val="3D4659"/>
          <w:sz w:val="22"/>
          <w:szCs w:val="22"/>
        </w:rPr>
        <w:t xml:space="preserve">“Explore full results →”</w:t>
      </w:r>
    </w:p>
    <w:p>
      <w:pPr>
        <w:spacing w:after="60"/>
      </w:pPr>
    </w:p>
    <w:p>
      <w:pPr>
        <w:pStyle w:val="Heading2"/>
      </w:pPr>
      <w:r>
        <w:t xml:space="preserve">Expanded State</w:t>
      </w:r>
    </w:p>
    <w:p>
      <w:pPr>
        <w:spacing w:after="160"/>
      </w:pPr>
      <w:r>
        <w:rPr>
          <w:rFonts w:ascii="Arial" w:cs="Arial" w:eastAsia="Arial" w:hAnsi="Arial"/>
          <w:color w:val="3D4659"/>
          <w:sz w:val="22"/>
          <w:szCs w:val="22"/>
        </w:rPr>
        <w:t xml:space="preserve">On expand, the remaining four treatment types appear in sequence:</w:t>
      </w:r>
    </w:p>
    <w:p>
      <w:pPr>
        <w:pStyle w:val="ListParagraph"/>
        <w:numPr>
          <w:ilvl w:val="0"/>
          <w:numId w:val="2"/>
        </w:numPr>
        <w:spacing w:after="80"/>
      </w:pPr>
      <w:r>
        <w:rPr>
          <w:rFonts w:ascii="Arial" w:cs="Arial" w:eastAsia="Arial" w:hAnsi="Arial"/>
          <w:b/>
          <w:bCs/>
          <w:color w:val="0E3A4D"/>
          <w:sz w:val="22"/>
          <w:szCs w:val="22"/>
        </w:rPr>
        <w:t xml:space="preserve">Observational Evidence </w:t>
      </w:r>
      <w:r>
        <w:rPr>
          <w:rFonts w:ascii="Arial" w:cs="Arial" w:eastAsia="Arial" w:hAnsi="Arial"/>
          <w:color w:val="3D4659"/>
          <w:sz w:val="22"/>
          <w:szCs w:val="22"/>
        </w:rPr>
        <w:t xml:space="preserve">— “What we observed” panel</w:t>
      </w:r>
    </w:p>
    <w:p>
      <w:pPr>
        <w:pStyle w:val="ListParagraph"/>
        <w:numPr>
          <w:ilvl w:val="0"/>
          <w:numId w:val="2"/>
        </w:numPr>
        <w:spacing w:after="80"/>
      </w:pPr>
      <w:r>
        <w:rPr>
          <w:rFonts w:ascii="Arial" w:cs="Arial" w:eastAsia="Arial" w:hAnsi="Arial"/>
          <w:b/>
          <w:bCs/>
          <w:color w:val="0E3A4D"/>
          <w:sz w:val="22"/>
          <w:szCs w:val="22"/>
        </w:rPr>
        <w:t xml:space="preserve">Behavioral Benchmark </w:t>
      </w:r>
      <w:r>
        <w:rPr>
          <w:rFonts w:ascii="Arial" w:cs="Arial" w:eastAsia="Arial" w:hAnsi="Arial"/>
          <w:color w:val="3D4659"/>
          <w:sz w:val="22"/>
          <w:szCs w:val="22"/>
        </w:rPr>
        <w:t xml:space="preserve">— “What top advisors do differently” panel</w:t>
      </w:r>
    </w:p>
    <w:p>
      <w:pPr>
        <w:pStyle w:val="ListParagraph"/>
        <w:numPr>
          <w:ilvl w:val="0"/>
          <w:numId w:val="2"/>
        </w:numPr>
        <w:spacing w:after="80"/>
      </w:pPr>
      <w:r>
        <w:rPr>
          <w:rFonts w:ascii="Arial" w:cs="Arial" w:eastAsia="Arial" w:hAnsi="Arial"/>
          <w:b/>
          <w:bCs/>
          <w:color w:val="0E3A4D"/>
          <w:sz w:val="22"/>
          <w:szCs w:val="22"/>
        </w:rPr>
        <w:t xml:space="preserve">Recommendation </w:t>
      </w:r>
      <w:r>
        <w:rPr>
          <w:rFonts w:ascii="Arial" w:cs="Arial" w:eastAsia="Arial" w:hAnsi="Arial"/>
          <w:color w:val="3D4659"/>
          <w:sz w:val="22"/>
          <w:szCs w:val="22"/>
        </w:rPr>
        <w:t xml:space="preserve">— “Where to start” panel</w:t>
      </w:r>
    </w:p>
    <w:p>
      <w:pPr>
        <w:pStyle w:val="ListParagraph"/>
        <w:numPr>
          <w:ilvl w:val="0"/>
          <w:numId w:val="2"/>
        </w:numPr>
        <w:spacing w:after="80"/>
      </w:pPr>
      <w:r>
        <w:rPr>
          <w:rFonts w:ascii="Arial" w:cs="Arial" w:eastAsia="Arial" w:hAnsi="Arial"/>
          <w:b/>
          <w:bCs/>
          <w:color w:val="0E3A4D"/>
          <w:sz w:val="22"/>
          <w:szCs w:val="22"/>
        </w:rPr>
        <w:t xml:space="preserve">Data Points </w:t>
      </w:r>
      <w:r>
        <w:rPr>
          <w:rFonts w:ascii="Arial" w:cs="Arial" w:eastAsia="Arial" w:hAnsi="Arial"/>
          <w:color w:val="3D4659"/>
          <w:sz w:val="22"/>
          <w:szCs w:val="22"/>
        </w:rPr>
        <w:t xml:space="preserve">— Expandable bars with descriptions</w:t>
      </w:r>
    </w:p>
    <w:p>
      <w:pPr>
        <w:spacing w:after="60"/>
      </w:pPr>
    </w:p>
    <w:p>
      <w:pPr>
        <w:spacing w:after="160"/>
      </w:pPr>
      <w:r>
        <w:rPr>
          <w:rFonts w:ascii="Arial" w:cs="Arial" w:eastAsia="Arial" w:hAnsi="Arial"/>
          <w:b/>
          <w:bCs/>
          <w:color w:val="0E3A4D"/>
          <w:sz w:val="22"/>
          <w:szCs w:val="22"/>
        </w:rPr>
        <w:t xml:space="preserve">Why Client Perspective as the default? </w:t>
      </w:r>
      <w:r>
        <w:rPr>
          <w:rFonts w:ascii="Arial" w:cs="Arial" w:eastAsia="Arial" w:hAnsi="Arial"/>
          <w:color w:val="3D4659"/>
          <w:sz w:val="22"/>
          <w:szCs w:val="22"/>
        </w:rPr>
        <w:t xml:space="preserve">Because the data strip already provides the diagnostic (score of 46, At Risk band, −46 gap). The advisor doesn’t need more analysis at first glance — they need to feel why it matters. “I assume he’s competitive but I’ve never checked” does more emotional work in one line than three paragraphs of observational evidence. The observation, benchmark, and recommendation are more useful after the advisor is already invested.</w:t>
      </w:r>
    </w:p>
    <w:p>
      <w:r>
        <w:br w:type="page"/>
      </w:r>
    </w:p>
    <w:p>
      <w:pPr>
        <w:pStyle w:val="Heading1"/>
      </w:pPr>
      <w:r>
        <w:t xml:space="preserve">Module Card: Default vs. Expand</w:t>
      </w:r>
    </w:p>
    <w:p>
      <w:pPr>
        <w:spacing w:after="40"/>
      </w:pPr>
    </w:p>
    <w:p>
      <w:pPr>
        <w:pStyle w:val="Heading2"/>
      </w:pPr>
      <w:r>
        <w:t xml:space="preserve">Default State</w:t>
      </w:r>
    </w:p>
    <w:p>
      <w:pPr>
        <w:pStyle w:val="ListParagraph"/>
        <w:numPr>
          <w:ilvl w:val="0"/>
          <w:numId w:val="2"/>
        </w:numPr>
        <w:spacing w:after="80"/>
      </w:pPr>
      <w:r>
        <w:rPr>
          <w:rFonts w:ascii="Arial" w:cs="Arial" w:eastAsia="Arial" w:hAnsi="Arial"/>
          <w:b/>
          <w:bCs/>
          <w:color w:val="0E3A4D"/>
          <w:sz w:val="22"/>
          <w:szCs w:val="22"/>
        </w:rPr>
        <w:t xml:space="preserve">Identity zone: </w:t>
      </w:r>
      <w:r>
        <w:rPr>
          <w:rFonts w:ascii="Arial" w:cs="Arial" w:eastAsia="Arial" w:hAnsi="Arial"/>
          <w:color w:val="3D4659"/>
          <w:sz w:val="22"/>
          <w:szCs w:val="22"/>
        </w:rPr>
        <w:t xml:space="preserve">Module name, subtitle fragment (not a sentence), score anchored right</w:t>
      </w:r>
    </w:p>
    <w:p>
      <w:pPr>
        <w:pStyle w:val="ListParagraph"/>
        <w:numPr>
          <w:ilvl w:val="0"/>
          <w:numId w:val="2"/>
        </w:numPr>
        <w:spacing w:after="80"/>
      </w:pPr>
      <w:r>
        <w:rPr>
          <w:rFonts w:ascii="Arial" w:cs="Arial" w:eastAsia="Arial" w:hAnsi="Arial"/>
          <w:b/>
          <w:bCs/>
          <w:color w:val="0E3A4D"/>
          <w:sz w:val="22"/>
          <w:szCs w:val="22"/>
        </w:rPr>
        <w:t xml:space="preserve">Stats strip: </w:t>
      </w:r>
      <w:r>
        <w:rPr>
          <w:rFonts w:ascii="Arial" w:cs="Arial" w:eastAsia="Arial" w:hAnsi="Arial"/>
          <w:color w:val="3D4659"/>
          <w:sz w:val="22"/>
          <w:szCs w:val="22"/>
        </w:rPr>
        <w:t xml:space="preserve">Band badge, gap to top 5%, gap to average</w:t>
      </w:r>
    </w:p>
    <w:p>
      <w:pPr>
        <w:pStyle w:val="ListParagraph"/>
        <w:numPr>
          <w:ilvl w:val="0"/>
          <w:numId w:val="2"/>
        </w:numPr>
        <w:spacing w:after="80"/>
      </w:pPr>
      <w:r>
        <w:rPr>
          <w:rFonts w:ascii="Arial" w:cs="Arial" w:eastAsia="Arial" w:hAnsi="Arial"/>
          <w:b/>
          <w:bCs/>
          <w:color w:val="0E3A4D"/>
          <w:sz w:val="22"/>
          <w:szCs w:val="22"/>
        </w:rPr>
        <w:t xml:space="preserve">Intelligence block: </w:t>
      </w:r>
      <w:r>
        <w:rPr>
          <w:rFonts w:ascii="Arial" w:cs="Arial" w:eastAsia="Arial" w:hAnsi="Arial"/>
          <w:color w:val="3D4659"/>
          <w:sz w:val="22"/>
          <w:szCs w:val="22"/>
        </w:rPr>
        <w:t xml:space="preserve">ONE diagnostic sentence in a left-bordered panel. Maximum 25 words.</w:t>
      </w:r>
    </w:p>
    <w:p>
      <w:pPr>
        <w:pStyle w:val="ListParagraph"/>
        <w:numPr>
          <w:ilvl w:val="0"/>
          <w:numId w:val="2"/>
        </w:numPr>
        <w:spacing w:after="80"/>
      </w:pPr>
      <w:r>
        <w:rPr>
          <w:rFonts w:ascii="Arial" w:cs="Arial" w:eastAsia="Arial" w:hAnsi="Arial"/>
          <w:b/>
          <w:bCs/>
          <w:color w:val="0E3A4D"/>
          <w:sz w:val="22"/>
          <w:szCs w:val="22"/>
        </w:rPr>
        <w:t xml:space="preserve">Expand toggle: </w:t>
      </w:r>
      <w:r>
        <w:rPr>
          <w:rFonts w:ascii="Arial" w:cs="Arial" w:eastAsia="Arial" w:hAnsi="Arial"/>
          <w:color w:val="3D4659"/>
          <w:sz w:val="22"/>
          <w:szCs w:val="22"/>
        </w:rPr>
        <w:t xml:space="preserve">“3 data points + client perspective”</w:t>
      </w:r>
    </w:p>
    <w:p>
      <w:pPr>
        <w:spacing w:after="60"/>
      </w:pPr>
    </w:p>
    <w:p>
      <w:pPr>
        <w:pStyle w:val="Heading2"/>
      </w:pPr>
      <w:r>
        <w:t xml:space="preserve">Expanded State</w:t>
      </w:r>
    </w:p>
    <w:p>
      <w:pPr>
        <w:pStyle w:val="ListParagraph"/>
        <w:numPr>
          <w:ilvl w:val="0"/>
          <w:numId w:val="2"/>
        </w:numPr>
        <w:spacing w:after="80"/>
      </w:pPr>
      <w:r>
        <w:rPr>
          <w:rFonts w:ascii="Arial" w:cs="Arial" w:eastAsia="Arial" w:hAnsi="Arial"/>
          <w:b/>
          <w:bCs/>
          <w:color w:val="0E3A4D"/>
          <w:sz w:val="22"/>
          <w:szCs w:val="22"/>
        </w:rPr>
        <w:t xml:space="preserve">Client voice quote </w:t>
      </w:r>
      <w:r>
        <w:rPr>
          <w:rFonts w:ascii="Arial" w:cs="Arial" w:eastAsia="Arial" w:hAnsi="Arial"/>
          <w:color w:val="3D4659"/>
          <w:sz w:val="22"/>
          <w:szCs w:val="22"/>
        </w:rPr>
        <w:t xml:space="preserve">in gold container</w:t>
      </w:r>
    </w:p>
    <w:p>
      <w:pPr>
        <w:pStyle w:val="ListParagraph"/>
        <w:numPr>
          <w:ilvl w:val="0"/>
          <w:numId w:val="2"/>
        </w:numPr>
        <w:spacing w:after="80"/>
      </w:pPr>
      <w:r>
        <w:rPr>
          <w:rFonts w:ascii="Arial" w:cs="Arial" w:eastAsia="Arial" w:hAnsi="Arial"/>
          <w:b/>
          <w:bCs/>
          <w:color w:val="0E3A4D"/>
          <w:sz w:val="22"/>
          <w:szCs w:val="22"/>
        </w:rPr>
        <w:t xml:space="preserve">Data point rows </w:t>
      </w:r>
      <w:r>
        <w:rPr>
          <w:rFonts w:ascii="Arial" w:cs="Arial" w:eastAsia="Arial" w:hAnsi="Arial"/>
          <w:color w:val="3D4659"/>
          <w:sz w:val="22"/>
          <w:szCs w:val="22"/>
        </w:rPr>
        <w:t xml:space="preserve">with bars and scores</w:t>
      </w:r>
    </w:p>
    <w:p>
      <w:pPr>
        <w:pStyle w:val="ListParagraph"/>
        <w:numPr>
          <w:ilvl w:val="0"/>
          <w:numId w:val="2"/>
        </w:numPr>
        <w:spacing w:after="80"/>
      </w:pPr>
      <w:r>
        <w:rPr>
          <w:rFonts w:ascii="Arial" w:cs="Arial" w:eastAsia="Arial" w:hAnsi="Arial"/>
          <w:b/>
          <w:bCs/>
          <w:color w:val="0E3A4D"/>
          <w:sz w:val="22"/>
          <w:szCs w:val="22"/>
        </w:rPr>
        <w:t xml:space="preserve">Link </w:t>
      </w:r>
      <w:r>
        <w:rPr>
          <w:rFonts w:ascii="Arial" w:cs="Arial" w:eastAsia="Arial" w:hAnsi="Arial"/>
          <w:color w:val="3D4659"/>
          <w:sz w:val="22"/>
          <w:szCs w:val="22"/>
        </w:rPr>
        <w:t xml:space="preserve">to full module results page</w:t>
      </w:r>
    </w:p>
    <w:p>
      <w:pPr>
        <w:spacing w:after="80"/>
      </w:pPr>
    </w:p>
    <w:p>
      <w:pPr>
        <w:spacing w:after="160"/>
      </w:pPr>
      <w:r>
        <w:rPr>
          <w:rFonts w:ascii="Arial" w:cs="Arial" w:eastAsia="Arial" w:hAnsi="Arial"/>
          <w:b/>
          <w:bCs/>
          <w:color w:val="0E3A4D"/>
          <w:sz w:val="22"/>
          <w:szCs w:val="22"/>
        </w:rPr>
        <w:t xml:space="preserve">Word budget: </w:t>
      </w:r>
      <w:r>
        <w:rPr>
          <w:rFonts w:ascii="Arial" w:cs="Arial" w:eastAsia="Arial" w:hAnsi="Arial"/>
          <w:color w:val="3D4659"/>
          <w:sz w:val="22"/>
          <w:szCs w:val="22"/>
        </w:rPr>
        <w:t xml:space="preserve">The diagnostic sentence in the default card state has a hard maximum of 25 words. This forces the narrative to be a headline-quality insight, not a paragraph. Compare: “Your due diligence process is among the most rigorous assessed — clients describe thoroughness they haven’t experienced elsewhere.” (18 words) vs. the V5 version which ran to 35+ words per card.</w:t>
      </w:r>
    </w:p>
    <w:p>
      <w:r>
        <w:br w:type="page"/>
      </w:r>
    </w:p>
    <w:p>
      <w:pPr>
        <w:pStyle w:val="Heading1"/>
      </w:pPr>
      <w:r>
        <w:t xml:space="preserve">The Rotation Model</w:t>
      </w:r>
    </w:p>
    <w:p>
      <w:pPr>
        <w:spacing w:after="160"/>
      </w:pPr>
      <w:r>
        <w:rPr>
          <w:rFonts w:ascii="Arial" w:cs="Arial" w:eastAsia="Arial" w:hAnsi="Arial"/>
          <w:color w:val="3D4659"/>
          <w:sz w:val="22"/>
          <w:szCs w:val="22"/>
        </w:rPr>
        <w:t xml:space="preserve">When a section displays only one narrative treatment by default, a question arises: what if the advisor visits the hub multiple times and sees the same single sentence each time? The rotation model addresses this.</w:t>
      </w:r>
    </w:p>
    <w:p>
      <w:pPr>
        <w:spacing w:after="60"/>
      </w:pPr>
    </w:p>
    <w:p>
      <w:pPr>
        <w:pStyle w:val="Heading2"/>
      </w:pPr>
      <w:r>
        <w:t xml:space="preserve">Static Sections (No Rotation)</w:t>
      </w:r>
    </w:p>
    <w:p>
      <w:pPr>
        <w:spacing w:after="160"/>
      </w:pPr>
      <w:r>
        <w:rPr>
          <w:rFonts w:ascii="Arial" w:cs="Arial" w:eastAsia="Arial" w:hAnsi="Arial"/>
          <w:color w:val="3D4659"/>
          <w:sz w:val="22"/>
          <w:szCs w:val="22"/>
        </w:rPr>
        <w:t xml:space="preserve">The Hero verdict and Priority section’s default client voice quote remain the same between visits. These are tied to the advisor’s current score state and only change when new assessment data is submitted. Consistency here builds trust and recognition — the advisor remembers where they saw something and can return to it.</w:t>
      </w:r>
    </w:p>
    <w:p>
      <w:pPr>
        <w:spacing w:after="60"/>
      </w:pPr>
    </w:p>
    <w:p>
      <w:pPr>
        <w:pStyle w:val="Heading2"/>
      </w:pPr>
      <w:r>
        <w:t xml:space="preserve">Rotating Sections</w:t>
      </w:r>
    </w:p>
    <w:p>
      <w:pPr>
        <w:spacing w:after="160"/>
      </w:pPr>
      <w:r>
        <w:rPr>
          <w:rFonts w:ascii="Arial" w:cs="Arial" w:eastAsia="Arial" w:hAnsi="Arial"/>
          <w:color w:val="3D4659"/>
          <w:sz w:val="22"/>
          <w:szCs w:val="22"/>
        </w:rPr>
        <w:t xml:space="preserve">Module cards and strength items can rotate which narrative treatment appears by default on return visits. The first visit shows the diagnostic narrative. A second visit might surface the client voice quote instead. This creates a sense of evolving intelligence without changing the underlying data.</w:t>
      </w:r>
    </w:p>
    <w:p>
      <w:pPr>
        <w:spacing w:after="40"/>
      </w:pPr>
    </w:p>
    <w:p>
      <w:pPr>
        <w:spacing w:after="160"/>
      </w:pPr>
      <w:r>
        <w:rPr>
          <w:rFonts w:ascii="Arial" w:cs="Arial" w:eastAsia="Arial" w:hAnsi="Arial"/>
          <w:b/>
          <w:bCs/>
          <w:color w:val="0E3A4D"/>
          <w:sz w:val="22"/>
          <w:szCs w:val="22"/>
        </w:rPr>
        <w:t xml:space="preserve">Rotation rules: </w:t>
      </w:r>
      <w:r>
        <w:rPr>
          <w:rFonts w:ascii="Arial" w:cs="Arial" w:eastAsia="Arial" w:hAnsi="Arial"/>
          <w:color w:val="3D4659"/>
          <w:sz w:val="22"/>
          <w:szCs w:val="22"/>
        </w:rPr>
        <w:t xml:space="preserve">Diagnostic narrative is always the first-visit default for module cards. Client perspective is always the first-visit default for the priority section. Subsequent visit rotations are determined by recency — if new pulse check data exists, the client voice quote surfaces. If the advisor hasn’t expanded a section before, the toggle label can update to signal unseen content (“+ new client insight”).</w:t>
      </w:r>
    </w:p>
    <w:p>
      <w:pPr>
        <w:spacing w:after="60"/>
      </w:pPr>
    </w:p>
    <w:p>
      <w:pPr>
        <w:pStyle w:val="Heading2"/>
      </w:pPr>
      <w:r>
        <w:t xml:space="preserve">Sidebar: Always Data-Dense</w:t>
      </w:r>
    </w:p>
    <w:p>
      <w:pPr>
        <w:spacing w:after="160"/>
      </w:pPr>
      <w:r>
        <w:rPr>
          <w:rFonts w:ascii="Arial" w:cs="Arial" w:eastAsia="Arial" w:hAnsi="Arial"/>
          <w:color w:val="3D4659"/>
          <w:sz w:val="22"/>
          <w:szCs w:val="22"/>
        </w:rPr>
        <w:t xml:space="preserve">The sidebar is pure data. No narrative blocks. Scores, gaps, area summaries, top/bottom lists, progress bars, and the pulse check quote. The sidebar serves the 10-second scan speed — it’s the quick-reference panel the advisor glances at before deciding where to go deeper. The one exception is the pulse check, which is a client voice quote, but it functions as a data point (what clients are asking this week) rather than an intelligence narrative.</w:t>
      </w:r>
    </w:p>
    <w:p>
      <w:r>
        <w:br w:type="page"/>
      </w:r>
    </w:p>
    <w:p>
      <w:pPr>
        <w:pStyle w:val="Heading1"/>
      </w:pPr>
      <w:r>
        <w:t xml:space="preserve">How to Validate the Ratio</w:t>
      </w:r>
    </w:p>
    <w:p>
      <w:pPr>
        <w:spacing w:after="160"/>
      </w:pPr>
      <w:r>
        <w:rPr>
          <w:rFonts w:ascii="Arial" w:cs="Arial" w:eastAsia="Arial" w:hAnsi="Arial"/>
          <w:color w:val="3D4659"/>
          <w:sz w:val="22"/>
          <w:szCs w:val="22"/>
        </w:rPr>
        <w:t xml:space="preserve">To audit any page or component against this framework, apply the following measurement technique.</w:t>
      </w:r>
    </w:p>
    <w:p>
      <w:pPr>
        <w:spacing w:after="60"/>
      </w:pPr>
    </w:p>
    <w:p>
      <w:pPr>
        <w:pStyle w:val="Heading2"/>
      </w:pPr>
      <w:r>
        <w:t xml:space="preserve">The Squint Test</w:t>
      </w:r>
    </w:p>
    <w:p>
      <w:pPr>
        <w:spacing w:after="160"/>
      </w:pPr>
      <w:r>
        <w:rPr>
          <w:rFonts w:ascii="Arial" w:cs="Arial" w:eastAsia="Arial" w:hAnsi="Arial"/>
          <w:color w:val="3D4659"/>
          <w:sz w:val="22"/>
          <w:szCs w:val="22"/>
        </w:rPr>
        <w:t xml:space="preserve">Squint at the page until you can’t read text but can still perceive shapes and colors. The dominant shapes should be data-dense: numbers, bars, badges, score blocks. Narrative blocks should appear as accent elements — visually present but not dominant. If the page, squinted, looks like an article with data sprinkled in, the ratio is wrong. It should look like a data display with intelligence commentary punctuating it.</w:t>
      </w:r>
    </w:p>
    <w:p>
      <w:pPr>
        <w:spacing w:after="60"/>
      </w:pPr>
    </w:p>
    <w:p>
      <w:pPr>
        <w:pStyle w:val="Heading2"/>
      </w:pPr>
      <w:r>
        <w:t xml:space="preserve">The Pixel Count Method</w:t>
      </w:r>
    </w:p>
    <w:p>
      <w:pPr>
        <w:spacing w:after="160"/>
      </w:pPr>
      <w:r>
        <w:rPr>
          <w:rFonts w:ascii="Arial" w:cs="Arial" w:eastAsia="Arial" w:hAnsi="Arial"/>
          <w:color w:val="3D4659"/>
          <w:sz w:val="22"/>
          <w:szCs w:val="22"/>
        </w:rPr>
        <w:t xml:space="preserve">For precise measurement, calculate the vertical pixels occupied by data elements versus narrative elements in each section’s default (unexpanded) state. The target ratios from the Intelligence Budget should be reflected in actual vertical space.</w:t>
      </w:r>
    </w:p>
    <w:p>
      <w:pPr>
        <w:spacing w:after="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Data Elements (count as data pixels)</w:t>
            </w:r>
          </w:p>
        </w:tc>
        <w:tc>
          <w:tcPr>
            <w:tcW w:type="dxa" w:w="4860"/>
            <w:tcBorders>
              <w:top w:val="single" w:color="D0D7E0" w:sz="1"/>
              <w:left w:val="single" w:color="D0D7E0" w:sz="1"/>
              <w:bottom w:val="single" w:color="D0D7E0" w:sz="1"/>
              <w:right w:val="single" w:color="D0D7E0" w:sz="1"/>
            </w:tcBorders>
            <w:shd w:fill="0E3A4D" w:val="clear"/>
            <w:tcMar>
              <w:top w:type="dxa" w:w="100"/>
              <w:left w:type="dxa" w:w="140"/>
              <w:bottom w:type="dxa" w:w="100"/>
              <w:right w:type="dxa" w:w="140"/>
            </w:tcMar>
          </w:tcPr>
          <w:p>
            <w:r>
              <w:rPr>
                <w:rFonts w:ascii="Arial" w:cs="Arial" w:eastAsia="Arial" w:hAnsi="Arial"/>
                <w:b/>
                <w:bCs/>
                <w:color w:val="FFFFFF"/>
                <w:sz w:val="20"/>
                <w:szCs w:val="20"/>
              </w:rPr>
              <w:t xml:space="preserve">Narrative Elements (count as text pixels)</w:t>
            </w:r>
          </w:p>
        </w:tc>
      </w:tr>
      <w:tr>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color w:val="3D4659"/>
                <w:sz w:val="20"/>
                <w:szCs w:val="20"/>
              </w:rPr>
              <w:t xml:space="preserve">Score numbers</w:t>
            </w:r>
          </w:p>
        </w:tc>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color w:val="3D4659"/>
                <w:sz w:val="20"/>
                <w:szCs w:val="20"/>
              </w:rPr>
              <w:t xml:space="preserve">Diagnostic verdict sentences</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Band badges</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Observational evidence paragraphs</w:t>
            </w:r>
          </w:p>
        </w:tc>
      </w:tr>
      <w:tr>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color w:val="3D4659"/>
                <w:sz w:val="20"/>
                <w:szCs w:val="20"/>
              </w:rPr>
              <w:t xml:space="preserve">Gap indicators</w:t>
            </w:r>
          </w:p>
        </w:tc>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color w:val="3D4659"/>
                <w:sz w:val="20"/>
                <w:szCs w:val="20"/>
              </w:rPr>
              <w:t xml:space="preserve">Client perspective quotes</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Progress bars</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Behavioral benchmark text</w:t>
            </w:r>
          </w:p>
        </w:tc>
      </w:tr>
      <w:tr>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color w:val="3D4659"/>
                <w:sz w:val="20"/>
                <w:szCs w:val="20"/>
              </w:rPr>
              <w:t xml:space="preserve">Percentile displays</w:t>
            </w:r>
          </w:p>
        </w:tc>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color w:val="3D4659"/>
                <w:sz w:val="20"/>
                <w:szCs w:val="20"/>
              </w:rPr>
              <w:t xml:space="preserve">Recommendation copy</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Data point rows (bars + scores)</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Strength leverage sentences</w:t>
            </w:r>
          </w:p>
        </w:tc>
      </w:tr>
      <w:tr>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color w:val="3D4659"/>
                <w:sz w:val="20"/>
                <w:szCs w:val="20"/>
              </w:rPr>
              <w:t xml:space="preserve">Stat strips</w:t>
            </w:r>
          </w:p>
        </w:tc>
        <w:tc>
          <w:tcPr>
            <w:tcW w:type="dxa" w:w="4860"/>
            <w:tcBorders>
              <w:top w:val="single" w:color="D0D7E0" w:sz="1"/>
              <w:left w:val="single" w:color="D0D7E0" w:sz="1"/>
              <w:bottom w:val="single" w:color="D0D7E0" w:sz="1"/>
              <w:right w:val="single" w:color="D0D7E0" w:sz="1"/>
            </w:tcBorders>
            <w:shd w:fill="F5F7FA" w:val="clear"/>
            <w:tcMar>
              <w:top w:type="dxa" w:w="100"/>
              <w:left w:type="dxa" w:w="140"/>
              <w:bottom w:type="dxa" w:w="100"/>
              <w:right w:type="dxa" w:w="140"/>
            </w:tcMar>
          </w:tcPr>
          <w:p>
            <w:r>
              <w:rPr>
                <w:rFonts w:ascii="Arial" w:cs="Arial" w:eastAsia="Arial" w:hAnsi="Arial"/>
                <w:color w:val="3D4659"/>
                <w:sz w:val="20"/>
                <w:szCs w:val="20"/>
              </w:rPr>
              <w:t xml:space="preserve">Module subtitles (if sentence-length)</w:t>
            </w:r>
          </w:p>
        </w:tc>
      </w:tr>
      <w:tr>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Area score lists</w:t>
            </w:r>
          </w:p>
        </w:tc>
        <w:tc>
          <w:tcPr>
            <w:tcW w:type="dxa" w:w="4860"/>
            <w:tcBorders>
              <w:top w:val="single" w:color="D0D7E0" w:sz="1"/>
              <w:left w:val="single" w:color="D0D7E0" w:sz="1"/>
              <w:bottom w:val="single" w:color="D0D7E0" w:sz="1"/>
              <w:right w:val="single" w:color="D0D7E0" w:sz="1"/>
            </w:tcBorders>
            <w:shd w:fill="FFFFFF" w:val="clear"/>
            <w:tcMar>
              <w:top w:type="dxa" w:w="100"/>
              <w:left w:type="dxa" w:w="140"/>
              <w:bottom w:type="dxa" w:w="100"/>
              <w:right w:type="dxa" w:w="140"/>
            </w:tcMar>
          </w:tcPr>
          <w:p>
            <w:r>
              <w:rPr>
                <w:rFonts w:ascii="Arial" w:cs="Arial" w:eastAsia="Arial" w:hAnsi="Arial"/>
                <w:color w:val="3D4659"/>
                <w:sz w:val="20"/>
                <w:szCs w:val="20"/>
              </w:rPr>
              <w:t xml:space="preserve">Section descriptions</w:t>
            </w:r>
          </w:p>
        </w:tc>
      </w:tr>
    </w:tbl>
    <w:p>
      <w:pPr>
        <w:spacing w:after="60"/>
      </w:pPr>
    </w:p>
    <w:p>
      <w:pPr>
        <w:spacing w:after="160"/>
      </w:pPr>
      <w:r>
        <w:rPr>
          <w:rFonts w:ascii="Arial" w:cs="Arial" w:eastAsia="Arial" w:hAnsi="Arial"/>
          <w:b/>
          <w:bCs/>
          <w:color w:val="0E3A4D"/>
          <w:sz w:val="22"/>
          <w:szCs w:val="22"/>
        </w:rPr>
        <w:t xml:space="preserve">Subtitle fragments are classified as data elements </w:t>
      </w:r>
      <w:r>
        <w:rPr>
          <w:rFonts w:ascii="Arial" w:cs="Arial" w:eastAsia="Arial" w:hAnsi="Arial"/>
          <w:color w:val="3D4659"/>
          <w:sz w:val="22"/>
          <w:szCs w:val="22"/>
        </w:rPr>
        <w:t xml:space="preserve">because they function like labels, not prose. “Manager research, evaluation rigor, and ongoing performance monitoring” is a descriptor, not a narrative. Sentence-length subtitles (“This module evaluates how thoroughly you research and qualify investment managers”) cross into narrative territory and should be avoided.</w:t>
      </w:r>
    </w:p>
    <w:p>
      <w:r>
        <w:br w:type="page"/>
      </w:r>
    </w:p>
    <w:p>
      <w:pPr>
        <w:pStyle w:val="Heading1"/>
      </w:pPr>
      <w:r>
        <w:t xml:space="preserve">Summary: Five Rules</w:t>
      </w:r>
    </w:p>
    <w:p>
      <w:pPr>
        <w:spacing w:after="6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10"/>
              <w:bottom w:val="single" w:color="D0D7E0" w:sz="1"/>
              <w:right w:val="single" w:color="D0D7E0" w:sz="1"/>
            </w:tcBorders>
            <w:shd w:fill="F5F7FA" w:val="clear"/>
            <w:tcMar>
              <w:top w:type="dxa" w:w="120"/>
              <w:left w:type="dxa" w:w="200"/>
              <w:bottom w:type="dxa" w:w="120"/>
              <w:right w:type="dxa" w:w="200"/>
            </w:tcMar>
          </w:tcPr>
          <w:p>
            <w:pPr>
              <w:spacing w:after="40"/>
            </w:pPr>
            <w:r>
              <w:rPr>
                <w:rFonts w:ascii="Arial" w:cs="Arial" w:eastAsia="Arial" w:hAnsi="Arial"/>
                <w:b/>
                <w:bCs/>
                <w:color w:val="1B5E7B"/>
                <w:spacing w:val="40"/>
                <w:sz w:val="18"/>
                <w:szCs w:val="18"/>
              </w:rPr>
              <w:t xml:space="preserve">RULE 1: </w:t>
            </w:r>
            <w:r>
              <w:rPr>
                <w:rFonts w:ascii="Georgia" w:cs="Georgia" w:eastAsia="Georgia" w:hAnsi="Georgia"/>
                <w:b/>
                <w:bCs/>
                <w:color w:val="0E3A4D"/>
                <w:sz w:val="24"/>
                <w:szCs w:val="24"/>
              </w:rPr>
              <w:t xml:space="preserve">Data leads, narrative rewards.</w:t>
            </w:r>
          </w:p>
          <w:p>
            <w:pPr>
              <w:spacing w:after="0"/>
            </w:pPr>
            <w:r>
              <w:rPr>
                <w:rFonts w:ascii="Arial" w:cs="Arial" w:eastAsia="Arial" w:hAnsi="Arial"/>
                <w:color w:val="3D4659"/>
                <w:sz w:val="21"/>
                <w:szCs w:val="21"/>
              </w:rPr>
              <w:t xml:space="preserve">In every component, quantitative elements appear above narrative elements in visual reading order. The advisor orients with numbers first, then finds intelligence context.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10"/>
              <w:bottom w:val="single" w:color="D0D7E0" w:sz="1"/>
              <w:right w:val="single" w:color="D0D7E0" w:sz="1"/>
            </w:tcBorders>
            <w:shd w:fill="F5F7FA" w:val="clear"/>
            <w:tcMar>
              <w:top w:type="dxa" w:w="120"/>
              <w:left w:type="dxa" w:w="200"/>
              <w:bottom w:type="dxa" w:w="120"/>
              <w:right w:type="dxa" w:w="200"/>
            </w:tcMar>
          </w:tcPr>
          <w:p>
            <w:pPr>
              <w:spacing w:after="40"/>
            </w:pPr>
            <w:r>
              <w:rPr>
                <w:rFonts w:ascii="Arial" w:cs="Arial" w:eastAsia="Arial" w:hAnsi="Arial"/>
                <w:b/>
                <w:bCs/>
                <w:color w:val="1B5E7B"/>
                <w:spacing w:val="40"/>
                <w:sz w:val="18"/>
                <w:szCs w:val="18"/>
              </w:rPr>
              <w:t xml:space="preserve">RULE 2: </w:t>
            </w:r>
            <w:r>
              <w:rPr>
                <w:rFonts w:ascii="Georgia" w:cs="Georgia" w:eastAsia="Georgia" w:hAnsi="Georgia"/>
                <w:b/>
                <w:bCs/>
                <w:color w:val="0E3A4D"/>
                <w:sz w:val="24"/>
                <w:szCs w:val="24"/>
              </w:rPr>
              <w:t xml:space="preserve">One narrative block per default state.</w:t>
            </w:r>
          </w:p>
          <w:p>
            <w:pPr>
              <w:spacing w:after="0"/>
            </w:pPr>
            <w:r>
              <w:rPr>
                <w:rFonts w:ascii="Arial" w:cs="Arial" w:eastAsia="Arial" w:hAnsi="Arial"/>
                <w:color w:val="3D4659"/>
                <w:sz w:val="21"/>
                <w:szCs w:val="21"/>
              </w:rPr>
              <w:t xml:space="preserve">No section or card displays more than one intelligence treatment in its collapsed view. Additional treatments are available on expand. This is the One-Block Rule.</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10"/>
              <w:bottom w:val="single" w:color="D0D7E0" w:sz="1"/>
              <w:right w:val="single" w:color="D0D7E0" w:sz="1"/>
            </w:tcBorders>
            <w:shd w:fill="F5F7FA" w:val="clear"/>
            <w:tcMar>
              <w:top w:type="dxa" w:w="120"/>
              <w:left w:type="dxa" w:w="200"/>
              <w:bottom w:type="dxa" w:w="120"/>
              <w:right w:type="dxa" w:w="200"/>
            </w:tcMar>
          </w:tcPr>
          <w:p>
            <w:pPr>
              <w:spacing w:after="40"/>
            </w:pPr>
            <w:r>
              <w:rPr>
                <w:rFonts w:ascii="Arial" w:cs="Arial" w:eastAsia="Arial" w:hAnsi="Arial"/>
                <w:b/>
                <w:bCs/>
                <w:color w:val="1B5E7B"/>
                <w:spacing w:val="40"/>
                <w:sz w:val="18"/>
                <w:szCs w:val="18"/>
              </w:rPr>
              <w:t xml:space="preserve">RULE 3: </w:t>
            </w:r>
            <w:r>
              <w:rPr>
                <w:rFonts w:ascii="Georgia" w:cs="Georgia" w:eastAsia="Georgia" w:hAnsi="Georgia"/>
                <w:b/>
                <w:bCs/>
                <w:color w:val="0E3A4D"/>
                <w:sz w:val="24"/>
                <w:szCs w:val="24"/>
              </w:rPr>
              <w:t xml:space="preserve">Narrative must earn its space.</w:t>
            </w:r>
          </w:p>
          <w:p>
            <w:pPr>
              <w:spacing w:after="0"/>
            </w:pPr>
            <w:r>
              <w:rPr>
                <w:rFonts w:ascii="Arial" w:cs="Arial" w:eastAsia="Arial" w:hAnsi="Arial"/>
                <w:color w:val="3D4659"/>
                <w:sz w:val="21"/>
                <w:szCs w:val="21"/>
              </w:rPr>
              <w:t xml:space="preserve">Every piece of copy must pass the Earning Test: does it add specificity, emotion, or direction that the data alone cannot convey? If not, replace it with data or remove it.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10"/>
              <w:bottom w:val="single" w:color="D0D7E0" w:sz="1"/>
              <w:right w:val="single" w:color="D0D7E0" w:sz="1"/>
            </w:tcBorders>
            <w:shd w:fill="F5F7FA" w:val="clear"/>
            <w:tcMar>
              <w:top w:type="dxa" w:w="120"/>
              <w:left w:type="dxa" w:w="200"/>
              <w:bottom w:type="dxa" w:w="120"/>
              <w:right w:type="dxa" w:w="200"/>
            </w:tcMar>
          </w:tcPr>
          <w:p>
            <w:pPr>
              <w:spacing w:after="40"/>
            </w:pPr>
            <w:r>
              <w:rPr>
                <w:rFonts w:ascii="Arial" w:cs="Arial" w:eastAsia="Arial" w:hAnsi="Arial"/>
                <w:b/>
                <w:bCs/>
                <w:color w:val="1B5E7B"/>
                <w:spacing w:val="40"/>
                <w:sz w:val="18"/>
                <w:szCs w:val="18"/>
              </w:rPr>
              <w:t xml:space="preserve">RULE 4: </w:t>
            </w:r>
            <w:r>
              <w:rPr>
                <w:rFonts w:ascii="Georgia" w:cs="Georgia" w:eastAsia="Georgia" w:hAnsi="Georgia"/>
                <w:b/>
                <w:bCs/>
                <w:color w:val="0E3A4D"/>
                <w:sz w:val="24"/>
                <w:szCs w:val="24"/>
              </w:rPr>
              <w:t xml:space="preserve">25-word maximum for card-level intelligence.</w:t>
            </w:r>
          </w:p>
          <w:p>
            <w:pPr>
              <w:spacing w:after="0"/>
            </w:pPr>
            <w:r>
              <w:rPr>
                <w:rFonts w:ascii="Arial" w:cs="Arial" w:eastAsia="Arial" w:hAnsi="Arial"/>
                <w:color w:val="3D4659"/>
                <w:sz w:val="21"/>
                <w:szCs w:val="21"/>
              </w:rPr>
              <w:t xml:space="preserve">Module cards, strength items, and other compact components have a hard word limit on their visible narrative. This forces headline-quality insight.</w:t>
            </w:r>
          </w:p>
        </w:tc>
      </w:tr>
    </w:tbl>
    <w:p>
      <w:pPr>
        <w:spacing w:after="8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D0D7E0" w:sz="1"/>
              <w:left w:val="single" w:color="1B5E7B" w:sz="10"/>
              <w:bottom w:val="single" w:color="D0D7E0" w:sz="1"/>
              <w:right w:val="single" w:color="D0D7E0" w:sz="1"/>
            </w:tcBorders>
            <w:shd w:fill="F5F7FA" w:val="clear"/>
            <w:tcMar>
              <w:top w:type="dxa" w:w="120"/>
              <w:left w:type="dxa" w:w="200"/>
              <w:bottom w:type="dxa" w:w="120"/>
              <w:right w:type="dxa" w:w="200"/>
            </w:tcMar>
          </w:tcPr>
          <w:p>
            <w:pPr>
              <w:spacing w:after="40"/>
            </w:pPr>
            <w:r>
              <w:rPr>
                <w:rFonts w:ascii="Arial" w:cs="Arial" w:eastAsia="Arial" w:hAnsi="Arial"/>
                <w:b/>
                <w:bCs/>
                <w:color w:val="1B5E7B"/>
                <w:spacing w:val="40"/>
                <w:sz w:val="18"/>
                <w:szCs w:val="18"/>
              </w:rPr>
              <w:t xml:space="preserve">RULE 5: </w:t>
            </w:r>
            <w:r>
              <w:rPr>
                <w:rFonts w:ascii="Georgia" w:cs="Georgia" w:eastAsia="Georgia" w:hAnsi="Georgia"/>
                <w:b/>
                <w:bCs/>
                <w:color w:val="0E3A4D"/>
                <w:sz w:val="24"/>
                <w:szCs w:val="24"/>
              </w:rPr>
              <w:t xml:space="preserve">The advisor controls depth.</w:t>
            </w:r>
          </w:p>
          <w:p>
            <w:pPr>
              <w:spacing w:after="0"/>
            </w:pPr>
            <w:r>
              <w:rPr>
                <w:rFonts w:ascii="Arial" w:cs="Arial" w:eastAsia="Arial" w:hAnsi="Arial"/>
                <w:color w:val="3D4659"/>
                <w:sz w:val="21"/>
                <w:szCs w:val="21"/>
              </w:rPr>
              <w:t xml:space="preserve">The platform decides what to show by default (data-heavy, one narrative accent). The advisor decides when to go deeper (expand for full intelligence). This respects their time while making the depth available.</w:t>
            </w:r>
          </w:p>
        </w:tc>
      </w:tr>
    </w:tbl>
    <w:p>
      <w:pPr>
        <w:spacing w:after="80"/>
      </w:pPr>
    </w:p>
    <w:p>
      <w:pPr>
        <w:spacing w:after="100"/>
      </w:pPr>
    </w:p>
    <w:p>
      <w:pPr>
        <w:pBdr>
          <w:bottom w:val="single" w:color="1B5E7B" w:sz="6" w:space="1"/>
        </w:pBdr>
        <w:spacing w:before="200" w:after="200"/>
      </w:pPr>
    </w:p>
    <w:p>
      <w:pPr>
        <w:pStyle w:val="Heading2"/>
      </w:pPr>
      <w:r>
        <w:t xml:space="preserve">Revision History</w:t>
      </w:r>
    </w:p>
    <w:p>
      <w:pPr>
        <w:spacing w:after="160"/>
      </w:pPr>
      <w:r>
        <w:rPr>
          <w:rFonts w:ascii="Arial" w:cs="Arial" w:eastAsia="Arial" w:hAnsi="Arial"/>
          <w:b/>
          <w:bCs/>
          <w:color w:val="0E3A4D"/>
          <w:sz w:val="22"/>
          <w:szCs w:val="22"/>
        </w:rPr>
        <w:t xml:space="preserve">v1.0 — February 18, 2026: </w:t>
      </w:r>
      <w:r>
        <w:rPr>
          <w:rFonts w:ascii="Arial" w:cs="Arial" w:eastAsia="Arial" w:hAnsi="Arial"/>
          <w:color w:val="3D4659"/>
          <w:sz w:val="22"/>
          <w:szCs w:val="22"/>
        </w:rPr>
        <w:t xml:space="preserve">Initial framework established. Defined the three earning criteria, visual sequence rule, intelligence budget per section, one-block rule, priority section expand architecture, module card default/expand states, rotation model, and validation methodology. Derived from V5 prototype feedback that narrative was leading instead of data.</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0E3A4D"/>
      <w:sz w:val="36"/>
      <w:szCs w:val="36"/>
    </w:rPr>
  </w:style>
  <w:style w:type="paragraph" w:styleId="Heading2">
    <w:name w:val="Heading 2"/>
    <w:basedOn w:val="Normal"/>
    <w:next w:val="Normal"/>
    <w:qFormat/>
    <w:pPr>
      <w:spacing w:before="280" w:after="160"/>
      <w:outlineLvl w:val="1"/>
    </w:pPr>
    <w:rPr>
      <w:rFonts w:ascii="Georgia" w:cs="Georgia" w:eastAsia="Georgia" w:hAnsi="Georgia"/>
      <w:b/>
      <w:bCs/>
      <w:color w:val="1B5E7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E3A4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2026-02-18T14:21:51.611Z</dcterms:created>
  <dcterms:modified xsi:type="dcterms:W3CDTF">2026-02-18T14:21:51.613Z</dcterms:modified>
</cp:coreProperties>
</file>

<file path=docProps/custom.xml><?xml version="1.0" encoding="utf-8"?>
<Properties xmlns="http://schemas.openxmlformats.org/officeDocument/2006/custom-properties" xmlns:vt="http://schemas.openxmlformats.org/officeDocument/2006/docPropsVTypes"/>
</file>