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DD254 Tool Enhancement Requirements</w:t>
      </w:r>
    </w:p>
    <w:p>
      <w:pPr>
        <w:pStyle w:val="Subtitle"/>
        <w:widowControl/>
      </w:pPr>
      <w:r>
        <w:t>Product Requirements Document</w:t>
      </w:r>
    </w:p>
    <w:p>
      <w:pPr>
        <w:widowControl/>
      </w:pPr>
      <w:r>
        <w:t>Draft 0.2 | 6 September 2026 | Prepared for Darin Adams</w:t>
      </w:r>
    </w:p>
    <w:p>
      <w:pPr>
        <w:pStyle w:val="Heading1"/>
        <w:widowControl/>
      </w:pPr>
      <w:r>
        <w:t>Purpose and product decision</w:t>
      </w:r>
    </w:p>
    <w:p>
      <w:pPr>
        <w:widowControl/>
      </w:pPr>
      <w:r>
        <w:t>Improve DD254 Interactive as a simple, single HTML file. All drafting logic and working records stay in the user's browser. The current enhancement scope requires no application server, external database, installed service or separate storage platform.</w:t>
      </w:r>
    </w:p>
    <w:p>
      <w:pPr>
        <w:widowControl/>
      </w:pPr>
      <w:r>
        <w:t>Phase A covers the browser-only R01-R05 enhancements to released v1.10.0 / Tool v2.122. A separate potential Phase B describes web hosting in a Docker container with a Kubernetes deployment framework. Phase B is a future direction, not a dependency or delivery commitment for Phase A.</w:t>
      </w:r>
    </w:p>
    <w:p>
      <w:pPr>
        <w:pStyle w:val="Heading1"/>
        <w:widowControl/>
      </w:pPr>
      <w:r>
        <w:t>Users and their responsibilities</w:t>
      </w:r>
    </w:p>
    <w:tbl>
      <w:tblPr>
        <w:tblW w:type="auto" w:w="0"/>
        <w:jc w:val="center"/>
        <w:tblLayout w:type="fixed"/>
        <w:tblLook w:firstColumn="1" w:firstRow="1" w:lastColumn="0" w:lastRow="0" w:noHBand="0" w:noVBand="1" w:val="04A0"/>
      </w:tblPr>
      <w:tblGrid>
        <w:gridCol w:w="2880"/>
        <w:gridCol w:w="6840"/>
      </w:tblGrid>
      <w:tr>
        <w:trPr>
          <w:cantSplit/>
          <w:tblHeader/>
        </w:trPr>
        <w:tc>
          <w:tcPr>
            <w:tcW w:type="dxa" w:w="288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User</w:t>
            </w:r>
          </w:p>
        </w:tc>
        <w:tc>
          <w:tcPr>
            <w:tcW w:type="dxa" w:w="684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Task the product should support</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Industry FSO or preparer</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Prepare a usable DD254, identify missing guidance and retain the basis for security requirements.</w:t>
            </w:r>
          </w:p>
        </w:tc>
      </w:tr>
      <w:tr>
        <w:trPr>
          <w:cantSplit/>
        </w:trPr>
        <w:tc>
          <w:tcPr>
            <w:tcW w:type="dxa" w:w="288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Prime contract or subcontract manager</w:t>
            </w:r>
          </w:p>
        </w:tc>
        <w:tc>
          <w:tcPr>
            <w:tcW w:type="dxa" w:w="684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Reconcile the contract attachment, revision and delivery package; surface cost and schedule questions.</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Government contracting and security reviewers</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Review applicability, provide guidance and record decisions through their authorized processes.</w:t>
            </w:r>
          </w:p>
        </w:tc>
      </w:tr>
      <w:tr>
        <w:trPr>
          <w:cantSplit/>
        </w:trPr>
        <w:tc>
          <w:tcPr>
            <w:tcW w:type="dxa" w:w="288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Tool maintainer</w:t>
            </w:r>
          </w:p>
        </w:tc>
        <w:tc>
          <w:tcPr>
            <w:tcW w:type="dxa" w:w="684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Keep guidance, exports, tests and documents consistent across releases.</w:t>
            </w:r>
          </w:p>
        </w:tc>
      </w:tr>
    </w:tbl>
    <w:p>
      <w:pPr>
        <w:spacing w:after="40"/>
      </w:pPr>
    </w:p>
    <w:p>
      <w:pPr>
        <w:pStyle w:val="Heading1"/>
        <w:widowControl/>
      </w:pPr>
      <w:r>
        <w:t>Success at the end of the next increments</w:t>
      </w:r>
    </w:p>
    <w:p>
      <w:pPr>
        <w:widowControl/>
      </w:pPr>
      <w:r>
        <w:t>A preparer can trace a question from a form item to its supporting reference and recorded response using local browser records and optional exports. Government and industry coordinate through their existing channels. This does not require shared accounts or a collaboration backend.</w:t>
      </w:r>
    </w:p>
    <w:p>
      <w:pPr>
        <w:widowControl/>
      </w:pPr>
      <w:r>
        <w:t>Planning owner: Darin Adams. Engineering and subject-matter review assignments remain to be designated before implementation. No budget, schedule or approval is implied by this draft.</w:t>
      </w:r>
    </w:p>
    <w:p>
      <w:r>
        <w:br w:type="page"/>
      </w:r>
    </w:p>
    <w:p>
      <w:pPr>
        <w:pStyle w:val="Title"/>
        <w:widowControl/>
      </w:pPr>
      <w:r>
        <w:t>Baseline and Scope</w:t>
      </w:r>
    </w:p>
    <w:p>
      <w:pPr>
        <w:widowControl/>
      </w:pPr>
      <w:r>
        <w:t>The recommendations come from the released assessment, targeted inspection of the current HTML and changelog, and the policy issues already developed for the training. This is not a claim that every screen or rule received a new comprehensive audit. [S1-S4]</w:t>
      </w:r>
    </w:p>
    <w:tbl>
      <w:tblPr>
        <w:tblW w:type="auto" w:w="0"/>
        <w:jc w:val="center"/>
        <w:tblLayout w:type="fixed"/>
        <w:tblLook w:firstColumn="1" w:firstRow="1" w:lastColumn="0" w:lastRow="0" w:noHBand="0" w:noVBand="1" w:val="04A0"/>
      </w:tblPr>
      <w:tblGrid>
        <w:gridCol w:w="1440"/>
        <w:gridCol w:w="4104"/>
        <w:gridCol w:w="4176"/>
      </w:tblGrid>
      <w:tr>
        <w:trPr>
          <w:cantSplit/>
          <w:tblHeader/>
        </w:trPr>
        <w:tc>
          <w:tcPr>
            <w:tcW w:type="dxa" w:w="144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Area</w:t>
            </w:r>
          </w:p>
        </w:tc>
        <w:tc>
          <w:tcPr>
            <w:tcW w:type="dxa" w:w="4104"/>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Already in the baseline</w:t>
            </w:r>
          </w:p>
        </w:tc>
        <w:tc>
          <w:tcPr>
            <w:tcW w:type="dxa" w:w="4176"/>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Proposed extension</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Sources</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Item, source, note and logged timestamp; embedded file hashes.</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Edition, applicability and a source record linked to issues and requirements.</w:t>
            </w:r>
          </w:p>
        </w:tc>
      </w:tr>
      <w:tr>
        <w:trPr>
          <w:cantSplit/>
        </w:trPr>
        <w:tc>
          <w:tcPr>
            <w:tcW w:type="dxa" w:w="144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Issuance</w:t>
            </w:r>
          </w:p>
        </w:tc>
        <w:tc>
          <w:tcPr>
            <w:tcW w:type="dxa" w:w="4104"/>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Preflight, holds, attachment lists and separate audience groups.</w:t>
            </w:r>
          </w:p>
        </w:tc>
        <w:tc>
          <w:tcPr>
            <w:tcW w:type="dxa" w:w="4176"/>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Contract incorporation and delivery evidence for the identified revision.</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Decisions</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Approval holds with a recorded basis; audit history.</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Structured issue ownership and scope of the recorded response.</w:t>
            </w:r>
          </w:p>
        </w:tc>
      </w:tr>
      <w:tr>
        <w:trPr>
          <w:cantSplit/>
        </w:trPr>
        <w:tc>
          <w:tcPr>
            <w:tcW w:type="dxa" w:w="144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Changes</w:t>
            </w:r>
          </w:p>
        </w:tc>
        <w:tc>
          <w:tcPr>
            <w:tcW w:type="dxa" w:w="4104"/>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Full retained revision-chain comparison and PDF change report.</w:t>
            </w:r>
          </w:p>
        </w:tc>
        <w:tc>
          <w:tcPr>
            <w:tcW w:type="dxa" w:w="4176"/>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Affected-obligation review and decision revalidation.</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CO review</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Clause applicability prompts and lifecycle checks.</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Traceable requirements, inspection scope and cost assumptions.</w:t>
            </w:r>
          </w:p>
        </w:tc>
      </w:tr>
    </w:tbl>
    <w:p>
      <w:pPr>
        <w:spacing w:after="40"/>
      </w:pPr>
    </w:p>
    <w:p>
      <w:pPr>
        <w:pStyle w:val="Heading1"/>
        <w:widowControl/>
      </w:pPr>
      <w:r>
        <w:t>Priority and implementation order</w:t>
      </w:r>
    </w:p>
    <w:tbl>
      <w:tblPr>
        <w:tblW w:type="auto" w:w="0"/>
        <w:jc w:val="center"/>
        <w:tblLayout w:type="fixed"/>
        <w:tblLook w:firstColumn="1" w:firstRow="1" w:lastColumn="0" w:lastRow="0" w:noHBand="0" w:noVBand="1" w:val="04A0"/>
      </w:tblPr>
      <w:tblGrid>
        <w:gridCol w:w="720"/>
        <w:gridCol w:w="936"/>
        <w:gridCol w:w="8064"/>
      </w:tblGrid>
      <w:tr>
        <w:trPr>
          <w:cantSplit/>
          <w:tblHeader/>
        </w:trPr>
        <w:tc>
          <w:tcPr>
            <w:tcW w:type="dxa" w:w="72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FFFFFF"/>
                <w:sz w:val="20"/>
              </w:rPr>
              <w:t>ID</w:t>
            </w:r>
          </w:p>
        </w:tc>
        <w:tc>
          <w:tcPr>
            <w:tcW w:type="dxa" w:w="936"/>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Priority</w:t>
            </w:r>
          </w:p>
        </w:tc>
        <w:tc>
          <w:tcPr>
            <w:tcW w:type="dxa" w:w="8064"/>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Outcome</w:t>
            </w:r>
          </w:p>
        </w:tc>
      </w:tr>
      <w:tr>
        <w:trPr>
          <w:cantSplit/>
        </w:trP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sz w:val="20"/>
              </w:rPr>
              <w:t>R01</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P0</w:t>
            </w:r>
          </w:p>
        </w:tc>
        <w:tc>
          <w:tcPr>
            <w:tcW w:type="dxa" w:w="8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Qualify policy guidance and record applicability</w:t>
            </w:r>
          </w:p>
        </w:tc>
      </w:tr>
      <w:tr>
        <w:trPr>
          <w:cantSplit/>
        </w:trPr>
        <w:tc>
          <w:tcPr>
            <w:tcW w:type="dxa" w:w="7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sz w:val="20"/>
              </w:rPr>
              <w:t>R02</w:t>
            </w:r>
          </w:p>
        </w:tc>
        <w:tc>
          <w:tcPr>
            <w:tcW w:type="dxa" w:w="936"/>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P1</w:t>
            </w:r>
          </w:p>
        </w:tc>
        <w:tc>
          <w:tcPr>
            <w:tcW w:type="dxa" w:w="8064"/>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Reconcile the contract and its DD254 package</w:t>
            </w:r>
          </w:p>
        </w:tc>
      </w:tr>
      <w:tr>
        <w:trPr>
          <w:cantSplit/>
        </w:trP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sz w:val="20"/>
              </w:rPr>
              <w:t>R03</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P1</w:t>
            </w:r>
          </w:p>
        </w:tc>
        <w:tc>
          <w:tcPr>
            <w:tcW w:type="dxa" w:w="8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Track policy questions through a recorded decision</w:t>
            </w:r>
          </w:p>
        </w:tc>
      </w:tr>
      <w:tr>
        <w:trPr>
          <w:cantSplit/>
        </w:trPr>
        <w:tc>
          <w:tcPr>
            <w:tcW w:type="dxa" w:w="7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sz w:val="20"/>
              </w:rPr>
              <w:t>R04</w:t>
            </w:r>
          </w:p>
        </w:tc>
        <w:tc>
          <w:tcPr>
            <w:tcW w:type="dxa" w:w="936"/>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P1</w:t>
            </w:r>
          </w:p>
        </w:tc>
        <w:tc>
          <w:tcPr>
            <w:tcW w:type="dxa" w:w="8064"/>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Connect requirements to inspection and cost review</w:t>
            </w:r>
          </w:p>
        </w:tc>
      </w:tr>
      <w:tr>
        <w:trPr>
          <w:cantSplit/>
        </w:trP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sz w:val="20"/>
              </w:rPr>
              <w:t>R05</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P2</w:t>
            </w:r>
          </w:p>
        </w:tc>
        <w:tc>
          <w:tcPr>
            <w:tcW w:type="dxa" w:w="80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Review changes and closeout by affected obligation</w:t>
            </w:r>
          </w:p>
        </w:tc>
      </w:tr>
    </w:tbl>
    <w:p>
      <w:pPr>
        <w:spacing w:after="40"/>
      </w:pPr>
    </w:p>
    <w:p>
      <w:pPr>
        <w:pStyle w:val="Heading1"/>
        <w:widowControl/>
      </w:pPr>
      <w:r>
        <w:t>Scope boundaries by phase</w:t>
      </w:r>
    </w:p>
    <w:p>
      <w:pPr>
        <w:widowControl/>
      </w:pPr>
      <w:r>
        <w:t>Phase A excludes backend services, external databases, cloud synchronization and container infrastructure. Phase B may add Docker and Kubernetes to deliver the same HTML over HTTPS. Shared records, server-side storage and identity services would need a further product decision. Automated classification and legal decisions remain outside both phases.</w:t>
      </w:r>
    </w:p>
    <w:p>
      <w:r>
        <w:br w:type="page"/>
      </w:r>
    </w:p>
    <w:p>
      <w:pPr>
        <w:pStyle w:val="Title"/>
        <w:widowControl/>
      </w:pPr>
      <w:r>
        <w:t>Phase A Single HTML Architecture</w:t>
      </w:r>
    </w:p>
    <w:p>
      <w:pPr>
        <w:widowControl/>
      </w:pPr>
      <w:r>
        <w:t>This is a product constraint, not an implementation preference. Every R01-R05 requirement must be achievable inside the downloaded HTML and the browser capabilities already used by the tool.</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Concern</w:t>
            </w:r>
          </w:p>
        </w:tc>
        <w:tc>
          <w:tcPr>
            <w:tcW w:type="dxa" w:w="792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Required Phase A design</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Application</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One HTML file with embedded JavaScript, styles, PDF assets and required libraries. No runtime CDN or separate asset directory.</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Working storage</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Existing browser IndexedDB and existing browser recovery paths. No server database, shared drive, external object store or background filesystem synchronization.</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Execution</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Drafting, checks, source notes, comparisons and exports execute in the browser. No Node, Python, Docker or Kubernetes requirement on the user's machine.</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Review workflow</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An individual records requests, responses and evidence locally. Exported reports support review through existing channels; there is no shared workflow service.</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Source guidance</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Ship reviewed guidance in the HTML. Users may follow reference links manually. No automatic source-refresh service.</w:t>
            </w:r>
          </w:p>
        </w:tc>
      </w:tr>
    </w:tbl>
    <w:p>
      <w:pPr>
        <w:spacing w:after="40"/>
      </w:pPr>
    </w:p>
    <w:p>
      <w:pPr>
        <w:pStyle w:val="Heading1"/>
        <w:widowControl/>
      </w:pPr>
      <w:r>
        <w:t>User controlled files are outputs</w:t>
      </w:r>
    </w:p>
    <w:p>
      <w:pPr>
        <w:widowControl/>
      </w:pPr>
      <w:r>
        <w:t>Keep the existing manual JSON backup/restore and PDF export features. Files the user chooses to download or import are portable copies, not an additional live storage layer. The application does not monitor, synchronize with or depend on those files after import.</w:t>
      </w:r>
    </w:p>
    <w:p>
      <w:pPr>
        <w:pStyle w:val="Heading1"/>
        <w:widowControl/>
      </w:pPr>
      <w:r>
        <w:t>Keep implementation proportional</w:t>
      </w:r>
    </w:p>
    <w:p>
      <w:pPr>
        <w:widowControl/>
      </w:pPr>
      <w:r>
        <w:t>Extend the existing UI and record structure in small steps. Do not add microservices, API endpoints, a new front-end framework or a generalized data platform to prepare for potential hosting. Development scripts may build and test the artifact; end users receive the self-contained HTML.</w:t>
      </w:r>
    </w:p>
    <w:p>
      <w:pPr>
        <w:pStyle w:val="Heading1"/>
        <w:widowControl/>
      </w:pPr>
      <w:r>
        <w:t>Acceptance boundary</w:t>
      </w:r>
    </w:p>
    <w:p>
      <w:pPr>
        <w:widowControl/>
      </w:pPr>
      <w:r>
        <w:t>With the network disconnected, a user can open the HTML, edit a draft, retain changes in browser storage, reopen it, compare revisions and download output. Inspect network activity to confirm no background transmission. Browser-storage loss remains a user backup concern; the tool does not promise remote recovery.</w:t>
      </w:r>
    </w:p>
    <w:p>
      <w:r>
        <w:br w:type="page"/>
      </w:r>
    </w:p>
    <w:p>
      <w:pPr>
        <w:pStyle w:val="Title"/>
        <w:widowControl/>
      </w:pPr>
      <w:r>
        <w:t>R01 Policy Guidance and Applicability</w:t>
      </w:r>
    </w:p>
    <w:p>
      <w:pPr>
        <w:widowControl/>
      </w:pPr>
      <w:r>
        <w:t>Priority P0. Correct demonstrated wording before adding a broader source-management interface. The general Final and retention help at application lines 2448-2465 needs to align with the conditional rule and program-specific guidance. [S3, S7, S8]</w:t>
      </w:r>
    </w:p>
    <w:p>
      <w:pPr>
        <w:pStyle w:val="Heading1"/>
        <w:widowControl/>
      </w:pPr>
      <w:r>
        <w:t>Required behavior</w:t>
      </w:r>
    </w:p>
    <w:p>
      <w:pPr>
        <w:widowControl/>
      </w:pPr>
      <w:r>
        <w:rPr>
          <w:b/>
        </w:rPr>
        <w:t xml:space="preserve">R01.1 </w:t>
      </w:r>
      <w:r>
        <w:t>Qualify the completion guidance. Distinguish return of government-provided or deliverable material, permitted retention of copies, extended retention and applicable SAP requirements. Present the same qualified explanation in help, templates and the CO package.</w:t>
      </w:r>
    </w:p>
    <w:p>
      <w:pPr>
        <w:widowControl/>
      </w:pPr>
      <w:r>
        <w:rPr>
          <w:b/>
        </w:rPr>
        <w:t xml:space="preserve">R01.2 </w:t>
      </w:r>
      <w:r>
        <w:t>Add versioned source metadata for changed policy guidance: source identifier, title, issuing body, edition or effective date, locator, URL, review date and applicability note. Retain the source version used by an existing record.</w:t>
      </w:r>
    </w:p>
    <w:p>
      <w:pPr>
        <w:widowControl/>
      </w:pPr>
      <w:r>
        <w:rPr>
          <w:b/>
        </w:rPr>
        <w:t xml:space="preserve">R01.3 </w:t>
      </w:r>
      <w:r>
        <w:t>Distinguish an information message, a review recommendation, a detected inconsistency and an existing approval requirement. Every changed rule must declare its category and trigger. Unknown applicability must be visible.</w:t>
      </w:r>
    </w:p>
    <w:p>
      <w:pPr>
        <w:widowControl/>
      </w:pPr>
      <w:r>
        <w:rPr>
          <w:b/>
        </w:rPr>
        <w:t xml:space="preserve">R01.4 </w:t>
      </w:r>
      <w:r>
        <w:t>Record contract clause or deviation basis as supplied by the user. A source refresh may identify a review need; it must not silently rewrite contract terms or prior decisions. RFO transition coverage is a review case. [S9]</w:t>
      </w:r>
    </w:p>
    <w:p>
      <w:pPr>
        <w:pStyle w:val="Heading1"/>
        <w:widowControl/>
      </w:pPr>
      <w:r>
        <w:t>Acceptance criteria</w:t>
      </w:r>
    </w:p>
    <w:p>
      <w:pPr>
        <w:widowControl/>
      </w:pPr>
      <w:r>
        <w:t>Given an ordinary completed contract with no contrary GCA direction recorded, help explains the conditional retention of copies and does not claim that all material may be kept. Given continued SAP requirements, help identifies the applicable written authorization and Final review path. Given unknown program applicability, the tool requests review and does not infer authorization.</w:t>
      </w:r>
    </w:p>
    <w:p>
      <w:pPr>
        <w:widowControl/>
      </w:pPr>
      <w:r>
        <w:t>Changing a guidance version leaves the previous source and decision history available. Each changed rule has a source locator and positive, negative and exception scenarios. No advisory enters the approval-hold engine solely because it uses the word hold in its display label.</w:t>
      </w:r>
    </w:p>
    <w:p>
      <w:pPr>
        <w:pStyle w:val="Heading1"/>
        <w:widowControl/>
      </w:pPr>
      <w:r>
        <w:t>Review responsibility</w:t>
      </w:r>
    </w:p>
    <w:p>
      <w:pPr>
        <w:widowControl/>
      </w:pPr>
      <w:r>
        <w:t>A qualified subject-matter reviewer validates the wording and applicability; the maintainer verifies consistency across UI and exports. Neither the catalog nor its review date is represented as a Government determination. The larger catalog interface can follow the first wording correction.</w:t>
      </w:r>
    </w:p>
    <w:p>
      <w:r>
        <w:br w:type="page"/>
      </w:r>
    </w:p>
    <w:p>
      <w:pPr>
        <w:pStyle w:val="Title"/>
        <w:widowControl/>
      </w:pPr>
      <w:r>
        <w:t>R02 Contract and Attachment Reconciliation</w:t>
      </w:r>
    </w:p>
    <w:p>
      <w:pPr>
        <w:widowControl/>
      </w:pPr>
      <w:r>
        <w:t>Priority P1. Extend the existing attachment list and issuance preflight so the DD254 revision being prepared can be reconciled with the contracting package. A downloaded form, a listed attachment and a recorded receipt are separate events.</w:t>
      </w:r>
    </w:p>
    <w:p>
      <w:pPr>
        <w:pStyle w:val="Heading1"/>
        <w:widowControl/>
      </w:pPr>
      <w:r>
        <w:t>Required behavior</w:t>
      </w:r>
    </w:p>
    <w:p>
      <w:pPr>
        <w:widowControl/>
      </w:pPr>
      <w:r>
        <w:rPr>
          <w:b/>
        </w:rPr>
        <w:t xml:space="preserve">R02.1 </w:t>
      </w:r>
      <w:r>
        <w:t>Record contract or subcontract identifier, modification or solicitation identifier where relevant, attachment or exhibit identifier, DD254 revision and date, and the reviewer's incorporation reference. Leave unsupported values unknown.</w:t>
      </w:r>
    </w:p>
    <w:p>
      <w:pPr>
        <w:widowControl/>
      </w:pPr>
      <w:r>
        <w:rPr>
          <w:b/>
        </w:rPr>
        <w:t xml:space="preserve">R02.2 </w:t>
      </w:r>
      <w:r>
        <w:t>Give each supporting document a stable ID, title, version/date, associated form items, delivery method and supersession link. Preserve existing embedded file hashes. Support a reference-only record when the document is handled outside this tool.</w:t>
      </w:r>
    </w:p>
    <w:p>
      <w:pPr>
        <w:widowControl/>
      </w:pPr>
      <w:r>
        <w:rPr>
          <w:b/>
        </w:rPr>
        <w:t xml:space="preserve">R02.3 </w:t>
      </w:r>
      <w:r>
        <w:t>Show a reconciliation checklist before issuance: form identity, referenced guidance versions, package versions and distribution. Warn about a missing reference or version mismatch. An unknown incorporation reference is a review item, not a new legal prohibition invented by the software.</w:t>
      </w:r>
    </w:p>
    <w:p>
      <w:pPr>
        <w:widowControl/>
      </w:pPr>
      <w:r>
        <w:rPr>
          <w:b/>
        </w:rPr>
        <w:t xml:space="preserve">R02.4 </w:t>
      </w:r>
      <w:r>
        <w:t>Record recipient, delivery date, channel, reported acknowledgment and evidence reference separately. Preparing an email or clicking export must not mark delivery, acknowledgment or incorporation complete.</w:t>
      </w:r>
    </w:p>
    <w:p>
      <w:pPr>
        <w:pStyle w:val="Heading1"/>
        <w:widowControl/>
      </w:pPr>
      <w:r>
        <w:t>Acceptance criteria</w:t>
      </w:r>
    </w:p>
    <w:p>
      <w:pPr>
        <w:widowControl/>
      </w:pPr>
      <w:r>
        <w:t>If the working DD254 is Revision 2 while the recorded contract attachment is Revision 1, preflight identifies both versions and asks for reconciliation. Correcting the working entry retains the earlier reference in history. Any applicable existing approval hold continues to block issuance.</w:t>
      </w:r>
    </w:p>
    <w:p>
      <w:pPr>
        <w:widowControl/>
      </w:pPr>
      <w:r>
        <w:t>Replacing SCG version A with B preserves A in prior revisions and identifies which current references need review. A reference-only document can appear in the checklist without its contents being uploaded. A delivery acknowledgment remains labeled as user-recorded evidence.</w:t>
      </w:r>
    </w:p>
    <w:p>
      <w:pPr>
        <w:pStyle w:val="Heading1"/>
        <w:widowControl/>
      </w:pPr>
      <w:r>
        <w:t>Export behavior</w:t>
      </w:r>
    </w:p>
    <w:p>
      <w:pPr>
        <w:widowControl/>
      </w:pPr>
      <w:r>
        <w:t>The review package includes the contract reference and a per-document manifest. Working evidence remains in a separate report and is not injected into official form fields without an explicit preparer action. Exports retain the baseline's separation of issuance audiences.</w:t>
      </w:r>
    </w:p>
    <w:p>
      <w:r>
        <w:br w:type="page"/>
      </w:r>
    </w:p>
    <w:p>
      <w:pPr>
        <w:pStyle w:val="Title"/>
        <w:widowControl/>
      </w:pPr>
      <w:r>
        <w:t>R03 Policy Questions and Recorded Decisions</w:t>
      </w:r>
    </w:p>
    <w:p>
      <w:pPr>
        <w:widowControl/>
      </w:pPr>
      <w:r>
        <w:t>Priority P1. Extend source notes and hold evidence into an issue record so industry and Government can work from the same question and supporting references. This is a local drafting record, not a shared system or an authenticated approval service.</w:t>
      </w:r>
    </w:p>
    <w:p>
      <w:pPr>
        <w:pStyle w:val="Heading1"/>
        <w:widowControl/>
      </w:pPr>
      <w:r>
        <w:t>Required behavior</w:t>
      </w:r>
    </w:p>
    <w:p>
      <w:pPr>
        <w:widowControl/>
      </w:pPr>
      <w:r>
        <w:rPr>
          <w:b/>
        </w:rPr>
        <w:t xml:space="preserve">R03.1 </w:t>
      </w:r>
      <w:r>
        <w:t>Capture issue ID, affected form items, requirement or attachment IDs, competing sources and locators, observed mismatch, proposed resolution, assigned reviewer role, request date and supporting evidence references.</w:t>
      </w:r>
    </w:p>
    <w:p>
      <w:pPr>
        <w:widowControl/>
      </w:pPr>
      <w:r>
        <w:rPr>
          <w:b/>
        </w:rPr>
        <w:t xml:space="preserve">R03.2 </w:t>
      </w:r>
      <w:r>
        <w:t>Use clear states: Draft, Ready for review, Sent recorded, Response recorded, Resolution recorded and Superseded. A user records external actions explicitly. State transitions retain the earlier values and their timestamps.</w:t>
      </w:r>
    </w:p>
    <w:p>
      <w:pPr>
        <w:widowControl/>
      </w:pPr>
      <w:r>
        <w:rPr>
          <w:b/>
        </w:rPr>
        <w:t xml:space="preserve">R03.3 </w:t>
      </w:r>
      <w:r>
        <w:t>Record the responding authority, response date/reference, disposition, rationale and applicability scope before Resolution recorded. An unresolved issue may link to an existing hold; closing the issue must not automatically clear that hold.</w:t>
      </w:r>
    </w:p>
    <w:p>
      <w:pPr>
        <w:widowControl/>
      </w:pPr>
      <w:r>
        <w:rPr>
          <w:b/>
        </w:rPr>
        <w:t xml:space="preserve">R03.4 </w:t>
      </w:r>
      <w:r>
        <w:t>When a linked source, requirement or form revision changes, identify decisions that need review. Preserve prior evidence and allow a new scoped decision. A user acknowledgment is not silently treated as a renewed approval.</w:t>
      </w:r>
    </w:p>
    <w:p>
      <w:pPr>
        <w:pStyle w:val="Heading1"/>
        <w:widowControl/>
      </w:pPr>
      <w:r>
        <w:t>Acceptance criteria</w:t>
      </w:r>
    </w:p>
    <w:p>
      <w:pPr>
        <w:widowControl/>
      </w:pPr>
      <w:r>
        <w:t>Two inconsistent source references remain visible side by side with their dates and scope. Exporting a question leaves it Ready for review until the user records sending it. A response without an identified authority or reference cannot be labeled Resolution recorded.</w:t>
      </w:r>
    </w:p>
    <w:p>
      <w:pPr>
        <w:widowControl/>
      </w:pPr>
      <w:r>
        <w:t>An issue closed for one subcontract does not close the same question for another. A classification concern exports the question and source references without changing the form's classification selections. Formal challenge procedures remain with the responsible parties. [S7]</w:t>
      </w:r>
    </w:p>
    <w:p>
      <w:pPr>
        <w:pStyle w:val="Heading1"/>
        <w:widowControl/>
      </w:pPr>
      <w:r>
        <w:t>Government and industry review output</w:t>
      </w:r>
    </w:p>
    <w:p>
      <w:pPr>
        <w:widowControl/>
      </w:pPr>
      <w:r>
        <w:t>Produce a concise clarification memo containing the affected requirement, factual question, competing references, proposed resolution and requested decision owner. Allow a preparer to select which issues and supporting files are included. No message is sent automatically.</w:t>
      </w:r>
    </w:p>
    <w:p>
      <w:r>
        <w:br w:type="page"/>
      </w:r>
    </w:p>
    <w:p>
      <w:pPr>
        <w:pStyle w:val="Title"/>
        <w:widowControl/>
      </w:pPr>
      <w:r>
        <w:t>R04 Requirements Inspection and Cost Review</w:t>
      </w:r>
    </w:p>
    <w:p>
      <w:pPr>
        <w:widowControl/>
      </w:pPr>
      <w:r>
        <w:t>Priority P1. Connect the existing Items 13-15 and CO package checks to a structured account of what is being required, who implements it and who reviews it. A policy citation alone does not explain the task or its resource impact. [S4, S10]</w:t>
      </w:r>
    </w:p>
    <w:p>
      <w:pPr>
        <w:pStyle w:val="Heading1"/>
        <w:widowControl/>
      </w:pPr>
      <w:r>
        <w:t>Required behavior</w:t>
      </w:r>
    </w:p>
    <w:p>
      <w:pPr>
        <w:widowControl/>
      </w:pPr>
      <w:r>
        <w:rPr>
          <w:b/>
        </w:rPr>
        <w:t xml:space="preserve">R04.1 </w:t>
      </w:r>
      <w:r>
        <w:t>Create a requirement record with plain-language task, affected items, source and contract reference, applicability, performance site, implementation owner, evidence expected and issue links.</w:t>
      </w:r>
    </w:p>
    <w:p>
      <w:pPr>
        <w:widowControl/>
      </w:pPr>
      <w:r>
        <w:rPr>
          <w:b/>
        </w:rPr>
        <w:t xml:space="preserve">R04.2 </w:t>
      </w:r>
      <w:r>
        <w:t>Record the stated inspection or review organization, the exact scope it covers, inspection criteria, frequency if specified, and the authority reference. Unassigned or disputed responsibility stays visible.</w:t>
      </w:r>
    </w:p>
    <w:p>
      <w:pPr>
        <w:widowControl/>
      </w:pPr>
      <w:r>
        <w:rPr>
          <w:b/>
        </w:rPr>
        <w:t xml:space="preserve">R04.3 </w:t>
      </w:r>
      <w:r>
        <w:t>Record additional effort and cost assumptions with units, quantity, rate, frequency, one-time or recurring basis and estimate status. Unknown costs remain unknown. A zero estimate requires an explicit basis.</w:t>
      </w:r>
    </w:p>
    <w:p>
      <w:pPr>
        <w:widowControl/>
      </w:pPr>
      <w:r>
        <w:rPr>
          <w:b/>
        </w:rPr>
        <w:t xml:space="preserve">R04.4 </w:t>
      </w:r>
      <w:r>
        <w:t>Summarize Items 13-15 consistency for review. Item 14 Yes must not automatically select Item 15 Yes. A requirement outside baseline NISPOM coverage must not automatically be labeled a DCSA inspection obligation.</w:t>
      </w:r>
    </w:p>
    <w:p>
      <w:pPr>
        <w:pStyle w:val="Heading1"/>
        <w:widowControl/>
      </w:pPr>
      <w:r>
        <w:t>Acceptance criteria</w:t>
      </w:r>
    </w:p>
    <w:p>
      <w:pPr>
        <w:widowControl/>
      </w:pPr>
      <w:r>
        <w:t>For a fictional additional inspection requiring two people for four hours at $100 per hour, the calculated labor estimate is $800 per event. Other costs remain separately stated; the tool does not infer reimbursement or an equitable adjustment.</w:t>
      </w:r>
    </w:p>
    <w:p>
      <w:pPr>
        <w:widowControl/>
      </w:pPr>
      <w:r>
        <w:t>If a requirement is entered with no inspection owner, the review output names that missing decision without assigning DCSA by default. A recorded owner covering only a specific program does not acquire every inspection responsibility on the contract.</w:t>
      </w:r>
    </w:p>
    <w:p>
      <w:pPr>
        <w:pStyle w:val="Heading1"/>
        <w:widowControl/>
      </w:pPr>
      <w:r>
        <w:t>Review and contract action</w:t>
      </w:r>
    </w:p>
    <w:p>
      <w:pPr>
        <w:widowControl/>
      </w:pPr>
      <w:r>
        <w:t>The CO package shows requirements, scope questions and cost assumptions together. Government and industry reviewers resolve applicability and contract treatment through their authorized processes. The software neither determines a legal entitlement nor treats silence as approval.</w:t>
      </w:r>
    </w:p>
    <w:p>
      <w:r>
        <w:br w:type="page"/>
      </w:r>
    </w:p>
    <w:p>
      <w:pPr>
        <w:pStyle w:val="Title"/>
        <w:widowControl/>
      </w:pPr>
      <w:r>
        <w:t>R05 Changes and Closeout</w:t>
      </w:r>
    </w:p>
    <w:p>
      <w:pPr>
        <w:widowControl/>
      </w:pPr>
      <w:r>
        <w:t>Priority P2. Extend the existing revision-chain comparison after R02-R04 establish the related records. Keep the full before-and-after history already available in the baseline. [S4]</w:t>
      </w:r>
    </w:p>
    <w:p>
      <w:pPr>
        <w:pStyle w:val="Heading1"/>
        <w:widowControl/>
      </w:pPr>
      <w:r>
        <w:t>Required behavior</w:t>
      </w:r>
    </w:p>
    <w:p>
      <w:pPr>
        <w:widowControl/>
      </w:pPr>
      <w:r>
        <w:rPr>
          <w:b/>
        </w:rPr>
        <w:t xml:space="preserve">R05.1 </w:t>
      </w:r>
      <w:r>
        <w:t>When a form item, source version or attachment changes, show linked requirements, decisions and delivery records that may be affected. Let a reviewer record impact and basis; do not assert that a field difference alone changes contract obligations.</w:t>
      </w:r>
    </w:p>
    <w:p>
      <w:pPr>
        <w:widowControl/>
      </w:pPr>
      <w:r>
        <w:rPr>
          <w:b/>
        </w:rPr>
        <w:t xml:space="preserve">R05.2 </w:t>
      </w:r>
      <w:r>
        <w:t>Separate contract completion, security disposition, continued requirements and extended retention in the closeout checklist. Include responsible reviewer, required evidence reference and completion state for each applicable action.</w:t>
      </w:r>
    </w:p>
    <w:p>
      <w:pPr>
        <w:widowControl/>
      </w:pPr>
      <w:r>
        <w:rPr>
          <w:b/>
        </w:rPr>
        <w:t xml:space="preserve">R05.3 </w:t>
      </w:r>
      <w:r>
        <w:t>Record authorized disposition or retention evidence, applicable dates and the source of the instruction. Support reference-only descriptions suitable for this tool. Do not create a detailed classified-material inventory in the application.</w:t>
      </w:r>
    </w:p>
    <w:p>
      <w:pPr>
        <w:widowControl/>
      </w:pPr>
      <w:r>
        <w:rPr>
          <w:b/>
        </w:rPr>
        <w:t xml:space="preserve">R05.4 </w:t>
      </w:r>
      <w:r>
        <w:t>Show due-date reminders while the application is open and identify overdue items at the next opening. An offline closed application must not promise background notifications.</w:t>
      </w:r>
    </w:p>
    <w:p>
      <w:pPr>
        <w:pStyle w:val="Heading1"/>
        <w:widowControl/>
      </w:pPr>
      <w:r>
        <w:t>Acceptance criteria</w:t>
      </w:r>
    </w:p>
    <w:p>
      <w:pPr>
        <w:widowControl/>
      </w:pPr>
      <w:r>
        <w:t>Changing a performance site flags linked delivery, safeguarding and inspection records for review without automatically invalidating a previously recorded Government decision. The user can see which dependency caused each review request.</w:t>
      </w:r>
    </w:p>
    <w:p>
      <w:pPr>
        <w:widowControl/>
      </w:pPr>
      <w:r>
        <w:t>A completed contract can still show unresolved disposition work. A generic two-year date is not treated as universal permission to retain material. SAP continuation and retention use the qualified R01 guidance and recorded authorization. [S7, S8]</w:t>
      </w:r>
    </w:p>
    <w:p>
      <w:pPr>
        <w:widowControl/>
      </w:pPr>
      <w:r>
        <w:t>A missing parent revision remains explicitly missing in the impact report. Closing a workflow item neither deletes evidence nor prevents export of the retained history.</w:t>
      </w:r>
    </w:p>
    <w:p>
      <w:pPr>
        <w:pStyle w:val="Heading1"/>
        <w:widowControl/>
      </w:pPr>
      <w:r>
        <w:t>Dependency</w:t>
      </w:r>
    </w:p>
    <w:p>
      <w:pPr>
        <w:widowControl/>
      </w:pPr>
      <w:r>
        <w:t>Deliver this increment after stable requirement, source and package identifiers are in use. A separate enterprise records-retention system or official material accountability register is outside this PRD.</w:t>
      </w:r>
    </w:p>
    <w:p>
      <w:r>
        <w:br w:type="page"/>
      </w:r>
    </w:p>
    <w:p>
      <w:pPr>
        <w:pStyle w:val="Title"/>
        <w:widowControl/>
      </w:pPr>
      <w:r>
        <w:t>Data and Interaction Requirements</w:t>
      </w:r>
    </w:p>
    <w:p>
      <w:pPr>
        <w:pStyle w:val="Heading1"/>
        <w:widowControl/>
      </w:pPr>
      <w:r>
        <w:t>Extend the existing browser record</w:t>
      </w:r>
    </w:p>
    <w:tbl>
      <w:tblPr>
        <w:tblW w:type="auto" w:w="0"/>
        <w:jc w:val="center"/>
        <w:tblLayout w:type="fixed"/>
        <w:tblLook w:firstColumn="1" w:firstRow="1" w:lastColumn="0" w:lastRow="0" w:noHBand="0" w:noVBand="1" w:val="04A0"/>
      </w:tblPr>
      <w:tblGrid>
        <w:gridCol w:w="2088"/>
        <w:gridCol w:w="7632"/>
      </w:tblGrid>
      <w:tr>
        <w:trPr>
          <w:cantSplit/>
          <w:tblHeader/>
        </w:trPr>
        <w:tc>
          <w:tcPr>
            <w:tcW w:type="dxa" w:w="2088"/>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Entity</w:t>
            </w:r>
          </w:p>
        </w:tc>
        <w:tc>
          <w:tcPr>
            <w:tcW w:type="dxa" w:w="7632"/>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Key fields and relationships</w:t>
            </w:r>
          </w:p>
        </w:tc>
      </w:tr>
      <w:tr>
        <w:trPr>
          <w:cantSplit/>
        </w:trP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Source reference</w:t>
            </w:r>
          </w:p>
        </w:tc>
        <w:tc>
          <w:tcPr>
            <w:tcW w:type="dxa" w:w="76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ID; title; issuing body; edition/effective date; locator; URL; review date; applicability.</w:t>
            </w:r>
          </w:p>
        </w:tc>
      </w:tr>
      <w:tr>
        <w:trPr>
          <w:cantSplit/>
        </w:trPr>
        <w:tc>
          <w:tcPr>
            <w:tcW w:type="dxa" w:w="2088"/>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Contract package</w:t>
            </w:r>
          </w:p>
        </w:tc>
        <w:tc>
          <w:tcPr>
            <w:tcW w:type="dxa" w:w="7632"/>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Contract/modification reference; attachment identifier; DD254 revision/date; supporting document IDs.</w:t>
            </w:r>
          </w:p>
        </w:tc>
      </w:tr>
      <w:tr>
        <w:trPr>
          <w:cantSplit/>
        </w:trP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Document evidence</w:t>
            </w:r>
          </w:p>
        </w:tc>
        <w:tc>
          <w:tcPr>
            <w:tcW w:type="dxa" w:w="76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ID; version/date; optional existing file hash; reference-only location; delivery/receipt records.</w:t>
            </w:r>
          </w:p>
        </w:tc>
      </w:tr>
      <w:tr>
        <w:trPr>
          <w:cantSplit/>
        </w:trPr>
        <w:tc>
          <w:tcPr>
            <w:tcW w:type="dxa" w:w="2088"/>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Requirement</w:t>
            </w:r>
          </w:p>
        </w:tc>
        <w:tc>
          <w:tcPr>
            <w:tcW w:type="dxa" w:w="7632"/>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ID; task; item/site; source and contract references; owner; inspection scope; cost assumptions.</w:t>
            </w:r>
          </w:p>
        </w:tc>
      </w:tr>
      <w:tr>
        <w:trPr>
          <w:cantSplit/>
        </w:trP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Issue and decision</w:t>
            </w:r>
          </w:p>
        </w:tc>
        <w:tc>
          <w:tcPr>
            <w:tcW w:type="dxa" w:w="76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ID; linked entities; status; request/response data; authority; basis; scope; history.</w:t>
            </w:r>
          </w:p>
        </w:tc>
      </w:tr>
    </w:tbl>
    <w:p>
      <w:pPr>
        <w:spacing w:after="40"/>
      </w:pPr>
    </w:p>
    <w:p>
      <w:pPr>
        <w:widowControl/>
      </w:pPr>
      <w:r>
        <w:t>The entities above are fields in the existing browser workspace and JSON backup format, not backend tables or services. Use small additive changes to existing records; do not introduce a storage abstraction layer for a hypothetical server. Preserve old fields, attachments and stable IDs. New metadata starts empty or unknown.</w:t>
      </w:r>
    </w:p>
    <w:p>
      <w:pPr>
        <w:pStyle w:val="Heading1"/>
        <w:widowControl/>
      </w:pPr>
      <w:r>
        <w:t>Interaction rules</w:t>
      </w:r>
    </w:p>
    <w:p>
      <w:pPr>
        <w:widowControl/>
      </w:pPr>
      <w:r>
        <w:t>Place new review controls beside the existing source log and CO workflow, using progressive disclosure. Each prompt identifies the affected item, reason, source and available next action. Status is conveyed in words as well as color. Controls must be keyboard operable and retain visible focus.</w:t>
      </w:r>
    </w:p>
    <w:p>
      <w:pPr>
        <w:widowControl/>
      </w:pPr>
      <w:r>
        <w:t>Before import or a schema upgrade, provide a usable backup path. Import validation must identify unsupported versions without partially overwriting the portfolio. New unrecognized fields must be preserved where safe or trigger an explicit unsupported-version result; never silently discard them.</w:t>
      </w:r>
    </w:p>
    <w:p>
      <w:pPr>
        <w:pStyle w:val="Heading1"/>
        <w:widowControl/>
      </w:pPr>
      <w:r>
        <w:t>Privacy and evidence boundaries</w:t>
      </w:r>
    </w:p>
    <w:p>
      <w:pPr>
        <w:widowControl/>
      </w:pPr>
      <w:r>
        <w:t>In Phase A, processing remains offline and source links open only on user action. Phase B adds the initial HTTPS delivery of the application; working data still stays in the browser. New fields and attachments inherit the tool's current handling limits. Exports remain deliberate user actions.</w:t>
      </w:r>
    </w:p>
    <w:p>
      <w:pPr>
        <w:widowControl/>
      </w:pPr>
      <w:r>
        <w:t>Local timestamps and names describe recorded actions; they do not authenticate identities. Local history is not represented as immutable or tamper-proof. Continue to rely on external signed decisions and authorized systems where required.</w:t>
      </w:r>
    </w:p>
    <w:p>
      <w:r>
        <w:br w:type="page"/>
      </w:r>
    </w:p>
    <w:p>
      <w:pPr>
        <w:pStyle w:val="Title"/>
        <w:widowControl/>
      </w:pPr>
      <w:r>
        <w:t>Phase B Potential Hosted Architecture</w:t>
      </w:r>
    </w:p>
    <w:p>
      <w:pPr>
        <w:widowControl/>
      </w:pPr>
      <w:r>
        <w:t>The intended future hosting profile packages the same HTML in a Docker image and provides a Kubernetes framework for serving it. This phase is separate from Phase A. Hosting delivers the application; it does not, by itself, move DD254 records to a server.</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Layer</w:t>
            </w:r>
          </w:p>
        </w:tc>
        <w:tc>
          <w:tcPr>
            <w:tcW w:type="dxa" w:w="792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Proposed responsibility</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Browser</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Execute the application and retain working records in browser storage. Keep the downloadable HTML option.</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HTTPS entry</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 stable domain and the selected cluster ingress or gateway route serve the application. Do not include form content in URLs or requests.</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Kubernetes</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 Deployment runs static-server Pods; a Service routes to them. Supply environment-specific TLS routing and operating configuration. [T2, T3]</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Docker image</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 minimal static web server packages the tested HTML and serving configuration. No DD254 records or user-specific files are included in the image. [T1]</w:t>
            </w:r>
          </w:p>
        </w:tc>
      </w:tr>
    </w:tbl>
    <w:p>
      <w:pPr>
        <w:spacing w:after="40"/>
      </w:pPr>
    </w:p>
    <w:p>
      <w:pPr>
        <w:pStyle w:val="Heading1"/>
        <w:widowControl/>
      </w:pPr>
      <w:r>
        <w:t>F01 Docker delivery requirements</w:t>
      </w:r>
    </w:p>
    <w:p>
      <w:pPr>
        <w:widowControl/>
      </w:pPr>
      <w:r>
        <w:t>Provide a Dockerfile, pinned release artifact, image digest and a documented local run command. Serve the same reviewed application bytes. Define health checks, a non-root process and read-only serving content. Do not add a save/upload API, application database or persistent volume for user records.</w:t>
      </w:r>
    </w:p>
    <w:p>
      <w:pPr>
        <w:pStyle w:val="Heading1"/>
        <w:widowControl/>
      </w:pPr>
      <w:r>
        <w:t>F02 Kubernetes framework requirements</w:t>
      </w:r>
    </w:p>
    <w:p>
      <w:pPr>
        <w:widowControl/>
      </w:pPr>
      <w:r>
        <w:t>Provide a Deployment, Service and chosen HTTPS routing configuration with resource settings, readiness checks and rollout/rollback instructions. Deployment configuration remains outside the downloaded HTML. Cluster credentials and infrastructure secrets never enter the browser artifact. [T2, T3]</w:t>
      </w:r>
    </w:p>
    <w:p>
      <w:pPr>
        <w:pStyle w:val="Heading1"/>
        <w:widowControl/>
      </w:pPr>
      <w:r>
        <w:t>Information boundary</w:t>
      </w:r>
    </w:p>
    <w:p>
      <w:pPr>
        <w:widowControl/>
      </w:pPr>
      <w:r>
        <w:t>The server handles application delivery and may produce infrastructure access logs. Those logs must not contain DD254 fields, attachments or backup contents. A central database, authenticated shared workspace or cross-device synchronization would be a distinct expansion requiring its own data and security design.</w:t>
      </w:r>
    </w:p>
    <w:p>
      <w:r>
        <w:br w:type="page"/>
      </w:r>
    </w:p>
    <w:p>
      <w:pPr>
        <w:pStyle w:val="Title"/>
        <w:widowControl/>
      </w:pPr>
      <w:r>
        <w:t>Hosted Migration and Acceptance</w:t>
      </w:r>
    </w:p>
    <w:p>
      <w:pPr>
        <w:pStyle w:val="Heading1"/>
        <w:widowControl/>
      </w:pPr>
      <w:r>
        <w:t>Keep storage behavior explicit</w:t>
      </w:r>
    </w:p>
    <w:p>
      <w:pPr>
        <w:widowControl/>
      </w:pPr>
      <w:r>
        <w:t>Opening the tool at a website creates or uses that browser origin's storage. It does not automatically find data entered through a downloaded file, another browser profile, another device or a different domain. Static hosting does not provide shared records, central backup or server recovery.</w:t>
      </w:r>
    </w:p>
    <w:p>
      <w:pPr>
        <w:pStyle w:val="Heading1"/>
        <w:widowControl/>
      </w:pPr>
      <w:r>
        <w:t>F03 Migration and continuity requirements</w:t>
      </w:r>
    </w:p>
    <w:p>
      <w:pPr>
        <w:widowControl/>
      </w:pPr>
      <w:r>
        <w:t>Before moving from file-based use to a hosted URL, instruct the user to download a Full Backup, import it into the hosted application and verify the restored records. Preserve a stable HTTPS origin across hosted releases. If a domain changes, provide the same explicit export/import path. Keep the old artifact and backup available for recovery.</w:t>
      </w:r>
    </w:p>
    <w:p>
      <w:pPr>
        <w:pStyle w:val="Heading1"/>
        <w:widowControl/>
      </w:pPr>
      <w:r>
        <w:t>Hosted acceptance cases</w:t>
      </w:r>
    </w:p>
    <w:p>
      <w:pPr>
        <w:widowControl/>
      </w:pPr>
      <w:r>
        <w:t>The container and Kubernetes endpoint serve the tested HTML hash. A clean browser can load and use the tool; the downloadable release continues to run independently.</w:t>
      </w:r>
    </w:p>
    <w:p>
      <w:pPr>
        <w:widowControl/>
      </w:pPr>
      <w:r>
        <w:t>After the application has loaded, drafting and local exports require no backend requests. Initial loading and an uncached reload of the hosted page require connectivity; this phase does not promise offline reload or install a service worker.</w:t>
      </w:r>
    </w:p>
    <w:p>
      <w:pPr>
        <w:widowControl/>
      </w:pPr>
      <w:r>
        <w:t>An independent browser profile cannot see another profile's DD254 records. Replacing or scaling a Pod does not affect browser records. Inspect requests and logs during representative editing to confirm that business data is not transmitted.</w:t>
      </w:r>
    </w:p>
    <w:p>
      <w:pPr>
        <w:widowControl/>
      </w:pPr>
      <w:r>
        <w:t>Restore a baseline JSON backup at the hosted origin and verify records, attachments and history. Test application-version rollback with schema compatibility; rolling back a container cannot roll back a user's browser data.</w:t>
      </w:r>
    </w:p>
    <w:p>
      <w:pPr>
        <w:pStyle w:val="Heading1"/>
        <w:widowControl/>
      </w:pPr>
      <w:r>
        <w:t>Decision needed before implementation</w:t>
      </w:r>
    </w:p>
    <w:p>
      <w:pPr>
        <w:widowControl/>
      </w:pPr>
      <w:r>
        <w:t>Confirm the hosting operator, target environment, domain/TLS approach, access policy and operating budget. Hosting access controls can be addressed separately from application record storage. Decide whether Kubernetes fits the target environment before provisioning a cluster; this PRD establishes the intended deployment framework, not a current infrastructure purchase.</w:t>
      </w:r>
    </w:p>
    <w:p>
      <w:pPr>
        <w:pStyle w:val="Heading1"/>
        <w:widowControl/>
      </w:pPr>
      <w:r>
        <w:t>Hosting references</w:t>
      </w:r>
    </w:p>
    <w:p>
      <w:pPr>
        <w:keepNext/>
        <w:spacing w:after="60"/>
      </w:pPr>
      <w:hyperlink r:id="rId11">
        <w:r>
          <w:rPr>
            <w:color w:val="153D63"/>
            <w:u w:val="single"/>
          </w:rPr>
          <w:t>T1  Docker container concepts</w:t>
        </w:r>
      </w:hyperlink>
    </w:p>
    <w:p>
      <w:pPr>
        <w:keepNext/>
        <w:spacing w:after="60"/>
      </w:pPr>
      <w:hyperlink r:id="rId12">
        <w:r>
          <w:rPr>
            <w:color w:val="153D63"/>
            <w:u w:val="single"/>
          </w:rPr>
          <w:t>T2  Kubernetes Deployments</w:t>
        </w:r>
      </w:hyperlink>
    </w:p>
    <w:p>
      <w:pPr>
        <w:keepNext/>
        <w:spacing w:after="60"/>
      </w:pPr>
      <w:hyperlink r:id="rId13">
        <w:r>
          <w:rPr>
            <w:color w:val="153D63"/>
            <w:u w:val="single"/>
          </w:rPr>
          <w:t>T3  Kubernetes Services</w:t>
        </w:r>
      </w:hyperlink>
    </w:p>
    <w:p>
      <w:r>
        <w:br w:type="page"/>
      </w:r>
    </w:p>
    <w:p>
      <w:pPr>
        <w:pStyle w:val="Title"/>
        <w:widowControl/>
      </w:pPr>
      <w:r>
        <w:t>Acceptance and Release Plan</w:t>
      </w:r>
    </w:p>
    <w:p>
      <w:pPr>
        <w:pStyle w:val="Heading1"/>
        <w:widowControl/>
      </w:pPr>
      <w:r>
        <w:t>Verification required for each increment</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Check</w:t>
            </w:r>
          </w:p>
        </w:tc>
        <w:tc>
          <w:tcPr>
            <w:tcW w:type="dxa" w:w="7920"/>
            <w:vAlign w:val="center"/>
            <w:shd w:fill="153D6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Acceptance evidence</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Single file operation</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Open the released HTML directly with networking disabled; create, save, reopen, compare and export without a server, package install or sidecar files.</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Policy scenarios</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Qualified completion, SAP continuation, unknown applicability and contract-source version cases reviewed against named sources.</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Data recovery</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v1.10.0 import fixture; newest edits in actual downloaded backups; complete restore of added entities and attachments; failed-write/read cases.</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Existing safeguards</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Approval holds still block; advisers remain separate; audience groups do not mix; source records stay out of official form fields by default.</w:t>
            </w:r>
          </w:p>
        </w:tc>
      </w:tr>
      <w:tr>
        <w:trPr>
          <w:cantSplit/>
        </w:trP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Output and usability</w:t>
            </w:r>
          </w:p>
        </w:tc>
        <w:tc>
          <w:tcPr>
            <w:tcW w:type="dxa" w:w="79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Official PDF and separate report checks; long text and missing values; keyboard review of added controls; readable print output.</w:t>
            </w:r>
          </w:p>
        </w:tc>
      </w:tr>
      <w:tr>
        <w:trPr>
          <w:cantSplit/>
        </w:trPr>
        <w:tc>
          <w:tcPr>
            <w:tcW w:type="dxa" w:w="180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Release identity</w:t>
            </w:r>
          </w:p>
        </w:tc>
        <w:tc>
          <w:tcPr>
            <w:tcW w:type="dxa" w:w="7920"/>
            <w:vAlign w:val="center"/>
            <w:shd w:fill="EFF4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sz w:val="20"/>
              </w:rPr>
              <w:t>Regression log bound to candidate hash; demo parity; split/rebuild; documented release evidence; deployed artifact hash verified.</w:t>
            </w:r>
          </w:p>
        </w:tc>
      </w:tr>
    </w:tbl>
    <w:p>
      <w:pPr>
        <w:spacing w:after="40"/>
      </w:pPr>
    </w:p>
    <w:p>
      <w:pPr>
        <w:pStyle w:val="Heading1"/>
        <w:widowControl/>
      </w:pPr>
      <w:r>
        <w:t>Pilot and outcome measures</w:t>
      </w:r>
    </w:p>
    <w:p>
      <w:pPr>
        <w:widowControl/>
      </w:pPr>
      <w:r>
        <w:t>Use fictional or appropriately sanitized contracts: an ordinary prime contract, a subcontract revision, an additional inspection requirement and a SAP continuation scenario. Proposed pilot: two industry preparers and one Government reviewer. Participants and timing are not yet committed.</w:t>
      </w:r>
    </w:p>
    <w:p>
      <w:pPr>
        <w:widowControl/>
      </w:pPr>
      <w:r>
        <w:t>Measure whether each participant can identify the current attachment, source edition, unresolved decision owner and disposition evidence. Proposed target: every seeded mismatch is surfaced, no lost records and no false approval state. Record task time and unnecessary prompts; no improvement percentage is claimed before a baseline exists. Collect results manually, without telemetry.</w:t>
      </w:r>
    </w:p>
    <w:p>
      <w:pPr>
        <w:pStyle w:val="Heading1"/>
        <w:widowControl/>
      </w:pPr>
      <w:r>
        <w:t>Rollout and rollback</w:t>
      </w:r>
    </w:p>
    <w:p>
      <w:pPr>
        <w:widowControl/>
      </w:pPr>
      <w:r>
        <w:t>Phase A releases R01, then R02-R03, then R04, with R05 following pilot feedback. Each increment ships as one HTML file with updated documentation and tests. Preserve the prior artifact and pre-upgrade backup for rollback. Phase B starts separately after hosting ownership, environment and operating needs are defined.</w:t>
      </w:r>
    </w:p>
    <w:p>
      <w:pPr>
        <w:widowControl/>
      </w:pPr>
      <w:r>
        <w:t>Open Phase A decisions: source-review ownership, acceptable incorporation evidence and pilot participants. Any new issuance blocker needs an explicit sourced rule and acceptance cases. Phase B adds separate decisions for domain, cluster, ingress/TLS, hosting access and operations ownership; none blocks Phase A.</w:t>
      </w:r>
    </w:p>
    <w:p>
      <w:r>
        <w:br w:type="page"/>
      </w:r>
    </w:p>
    <w:p>
      <w:pPr>
        <w:pStyle w:val="Title"/>
        <w:widowControl/>
      </w:pPr>
      <w:r>
        <w:t>Evidence and Traceability</w:t>
      </w:r>
    </w:p>
    <w:p>
      <w:pPr>
        <w:widowControl/>
      </w:pPr>
      <w:r>
        <w:t>Repository links below are pinned to the recorded v1.10.0 source commit. Official sources support the policy examples; this PRD specifies software behavior and does not replace contract-specific review.</w:t>
      </w:r>
    </w:p>
    <w:p>
      <w:pPr>
        <w:keepNext/>
        <w:spacing w:after="60"/>
      </w:pPr>
      <w:hyperlink r:id="rId14">
        <w:r>
          <w:rPr>
            <w:color w:val="153D63"/>
            <w:u w:val="single"/>
          </w:rPr>
          <w:t>S1  Release assessment and confidence estimates</w:t>
        </w:r>
      </w:hyperlink>
    </w:p>
    <w:p>
      <w:pPr>
        <w:widowControl/>
      </w:pPr>
      <w:r>
        <w:t>The 13 shipped corrections and their original engineering estimates.</w:t>
      </w:r>
    </w:p>
    <w:p>
      <w:pPr>
        <w:keepNext/>
        <w:spacing w:after="60"/>
      </w:pPr>
      <w:hyperlink r:id="rId15">
        <w:r>
          <w:rPr>
            <w:color w:val="153D63"/>
            <w:u w:val="single"/>
          </w:rPr>
          <w:t>S2  Application baseline and source log</w:t>
        </w:r>
      </w:hyperlink>
    </w:p>
    <w:p>
      <w:pPr>
        <w:widowControl/>
      </w:pPr>
      <w:r>
        <w:t>Source log, embedded attachments and their separate export; VLOG record schema at line 3916.</w:t>
      </w:r>
    </w:p>
    <w:p>
      <w:pPr>
        <w:keepNext/>
        <w:spacing w:after="60"/>
      </w:pPr>
      <w:hyperlink r:id="rId16">
        <w:r>
          <w:rPr>
            <w:color w:val="153D63"/>
            <w:u w:val="single"/>
          </w:rPr>
          <w:t>S3  Application lifecycle guidance</w:t>
        </w:r>
      </w:hyperlink>
    </w:p>
    <w:p>
      <w:pPr>
        <w:widowControl/>
      </w:pPr>
      <w:r>
        <w:t>General Final and retention help; compare the SAP guidance at line 1023.</w:t>
      </w:r>
    </w:p>
    <w:p>
      <w:pPr>
        <w:keepNext/>
        <w:spacing w:after="60"/>
      </w:pPr>
      <w:hyperlink r:id="rId17">
        <w:r>
          <w:rPr>
            <w:color w:val="153D63"/>
            <w:u w:val="single"/>
          </w:rPr>
          <w:t>S4  Change history and existing workflow</w:t>
        </w:r>
      </w:hyperlink>
    </w:p>
    <w:p>
      <w:pPr>
        <w:widowControl/>
      </w:pPr>
      <w:r>
        <w:t>v188 advisories; v190 CO package; v195 issuance, custody and revision safeguards; v1.10.0 corrections.</w:t>
      </w:r>
    </w:p>
    <w:p>
      <w:pPr>
        <w:keepNext/>
        <w:spacing w:after="60"/>
      </w:pPr>
      <w:hyperlink r:id="rId18">
        <w:r>
          <w:rPr>
            <w:color w:val="153D63"/>
            <w:u w:val="single"/>
          </w:rPr>
          <w:t>S5  Released v1.10.0 artifacts</w:t>
        </w:r>
      </w:hyperlink>
    </w:p>
    <w:p>
      <w:pPr>
        <w:widowControl/>
      </w:pPr>
      <w:r>
        <w:t>Downloadable software and release documentation.</w:t>
      </w:r>
    </w:p>
    <w:p>
      <w:pPr>
        <w:keepNext/>
        <w:spacing w:after="60"/>
      </w:pPr>
      <w:hyperlink r:id="rId19">
        <w:r>
          <w:rPr>
            <w:color w:val="153D63"/>
            <w:u w:val="single"/>
          </w:rPr>
          <w:t>S6  Recorded release verification</w:t>
        </w:r>
      </w:hyperlink>
    </w:p>
    <w:p>
      <w:pPr>
        <w:widowControl/>
      </w:pPr>
      <w:r>
        <w:t>Public workflow for the released source commit; 957 regression assertions passed.</w:t>
      </w:r>
    </w:p>
    <w:p>
      <w:pPr>
        <w:keepNext/>
        <w:spacing w:after="60"/>
      </w:pPr>
      <w:hyperlink r:id="rId20">
        <w:r>
          <w:rPr>
            <w:color w:val="153D63"/>
            <w:u w:val="single"/>
          </w:rPr>
          <w:t>S7  32 CFR 117.13</w:t>
        </w:r>
      </w:hyperlink>
    </w:p>
    <w:p>
      <w:pPr>
        <w:widowControl/>
      </w:pPr>
      <w:r>
        <w:t>Paragraphs (d) and (e): classification guidance, completion and challenges. Rechecked 6 September 2026.</w:t>
      </w:r>
    </w:p>
    <w:p>
      <w:pPr>
        <w:keepNext/>
        <w:spacing w:after="60"/>
      </w:pPr>
      <w:hyperlink r:id="rId21">
        <w:r>
          <w:rPr>
            <w:color w:val="153D63"/>
            <w:u w:val="single"/>
          </w:rPr>
          <w:t>S8  DoDM 5205.07 dated 17 January 2025</w:t>
        </w:r>
      </w:hyperlink>
    </w:p>
    <w:p>
      <w:pPr>
        <w:widowControl/>
      </w:pPr>
      <w:r>
        <w:t>Section 10.5: SAP disposition and closeout. Rechecked 6 September 2026.</w:t>
      </w:r>
    </w:p>
    <w:p>
      <w:pPr>
        <w:keepNext/>
        <w:spacing w:after="60"/>
      </w:pPr>
      <w:hyperlink r:id="rId22">
        <w:r>
          <w:rPr>
            <w:color w:val="153D63"/>
            <w:u w:val="single"/>
          </w:rPr>
          <w:t>S9  DoD Class Deviation 2026 O0025</w:t>
        </w:r>
      </w:hyperlink>
    </w:p>
    <w:p>
      <w:pPr>
        <w:widowControl/>
      </w:pPr>
      <w:r>
        <w:t>RFO Part 40 adoption and attached coverage. Rechecked 6 September 2026; applicability still depends on the acquisition and contract.</w:t>
      </w:r>
    </w:p>
    <w:p>
      <w:pPr>
        <w:keepNext/>
        <w:spacing w:after="60"/>
      </w:pPr>
      <w:hyperlink r:id="rId23">
        <w:r>
          <w:rPr>
            <w:color w:val="153D63"/>
            <w:u w:val="single"/>
          </w:rPr>
          <w:t>S10  Official DD Form 254 instructions</w:t>
        </w:r>
      </w:hyperlink>
    </w:p>
    <w:p>
      <w:pPr>
        <w:widowControl/>
      </w:pPr>
      <w:r>
        <w:t>Items 13 through 15 and form completion guidance. Source used in the existing lifecycle training.</w:t>
      </w:r>
    </w:p>
    <w:p>
      <w:pPr>
        <w:widowControl/>
      </w:pPr>
      <w:r>
        <w:t>Additional local planning input: DD254 Conflicts and Resolution Register, rebuilt training draft, 6 September 2026, in 02_DOCS/training/rebuilt. It records the 24 training issues and their source comparisons. It is a draft analysis, not an independent authority.</w:t>
      </w:r>
    </w:p>
    <w:p>
      <w:pPr>
        <w:widowControl/>
      </w:pPr>
      <w:r>
        <w:t>Companion report: DD254 Tool Assessment and Recommendations, 6 September 2026. It lists all 13 shipped fixes and their original confidence estimates. R01-R05 remain proposed in this PRD.</w:t>
      </w:r>
    </w:p>
    <w:sectPr w:rsidR="00FC693F" w:rsidRPr="0006063C" w:rsidSect="00034616">
      <w:headerReference w:type="default" r:id="rId9"/>
      <w:footerReference w:type="default" r:id="rId10"/>
      <w:pgSz w:w="12240" w:h="15840"/>
      <w:pgMar w:top="1008"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280" w:val="left"/>
      </w:tabs>
    </w:pPr>
    <w:r>
      <w:t>6 September 2026   |   Proposed enhancements</w:t>
    </w:r>
    <w:r>
      <w:tab/>
    </w: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DD254 INTERACTIVE  /  PRODUCT REQUIREMENTS  /  DRAFT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ocker.com/get-started/docker-concepts/the-basics/what-is-a-container/" TargetMode="External"/><Relationship Id="rId12" Type="http://schemas.openxmlformats.org/officeDocument/2006/relationships/hyperlink" Target="https://kubernetes.io/docs/concepts/workloads/controllers/deployment/" TargetMode="External"/><Relationship Id="rId13" Type="http://schemas.openxmlformats.org/officeDocument/2006/relationships/hyperlink" Target="https://kubernetes.io/docs/concepts/services-networking/service/" TargetMode="External"/><Relationship Id="rId14" Type="http://schemas.openxmlformats.org/officeDocument/2006/relationships/hyperlink" Target="https://github.com/adamsdarin/dd254-interactive-source/blob/a8cc40b49bdf669e36a2d6a4a16f555e60dbe1fc/02_DOCS/RELEASE_ASSESSMENT_v1.10.0.md" TargetMode="External"/><Relationship Id="rId15" Type="http://schemas.openxmlformats.org/officeDocument/2006/relationships/hyperlink" Target="https://github.com/adamsdarin/dd254-interactive-source/blob/a8cc40b49bdf669e36a2d6a4a16f555e60dbe1fc/01_TOOL/DD254_Interactive_v1.10.0.HTM#L597" TargetMode="External"/><Relationship Id="rId16" Type="http://schemas.openxmlformats.org/officeDocument/2006/relationships/hyperlink" Target="https://github.com/adamsdarin/dd254-interactive-source/blob/a8cc40b49bdf669e36a2d6a4a16f555e60dbe1fc/01_TOOL/DD254_Interactive_v1.10.0.HTM#L2448" TargetMode="External"/><Relationship Id="rId17" Type="http://schemas.openxmlformats.org/officeDocument/2006/relationships/hyperlink" Target="https://github.com/adamsdarin/dd254-interactive-source/blob/a8cc40b49bdf669e36a2d6a4a16f555e60dbe1fc/01_TOOL/CHANGELOG.md" TargetMode="External"/><Relationship Id="rId18" Type="http://schemas.openxmlformats.org/officeDocument/2006/relationships/hyperlink" Target="https://github.com/adamsdarin/dd254-interactive-source/releases/tag/v1.10.0" TargetMode="External"/><Relationship Id="rId19" Type="http://schemas.openxmlformats.org/officeDocument/2006/relationships/hyperlink" Target="https://github.com/adamsdarin/dd254-interactive-source/actions/runs/33966576352" TargetMode="External"/><Relationship Id="rId20" Type="http://schemas.openxmlformats.org/officeDocument/2006/relationships/hyperlink" Target="https://www.ecfr.gov/current/title-32/subtitle-A/chapter-I/subchapter-D/part-117/section-117.13" TargetMode="External"/><Relationship Id="rId21" Type="http://schemas.openxmlformats.org/officeDocument/2006/relationships/hyperlink" Target="https://www.esd.whs.mil/Portals/54/Documents/DD/issuances/dodm/520507m1.PDF" TargetMode="External"/><Relationship Id="rId22" Type="http://schemas.openxmlformats.org/officeDocument/2006/relationships/hyperlink" Target="https://www.acquisition.gov/sites/default/files/page_file_uploads/DoD_RFO_Deviation_Part-40.pdf" TargetMode="External"/><Relationship Id="rId23" Type="http://schemas.openxmlformats.org/officeDocument/2006/relationships/hyperlink" Target="https://www.esd.whs.mil/Portals/54/Documents/DD/forms/dd/dd0254-In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DD254 Tool Enhancement Requirements</dc:title>
  <dc:subject>Product Requirements Document for proposed enhancements after v1.10.0</dc:subject>
  <dc:creator>Prepared for Darin Adams</dc:creator>
  <cp:keywords>DD254, product requirements, draft, v1.10.0</cp:keywords>
  <dc:description>generated by python-docx</dc:description>
  <cp:lastModifiedBy/>
  <cp:revision>1</cp:revision>
  <dcterms:created xsi:type="dcterms:W3CDTF">2013-12-23T23:15:00Z</dcterms:created>
  <dcterms:modified xsi:type="dcterms:W3CDTF">2013-12-23T23:15:00Z</dcterms:modified>
  <cp:category/>
</cp:coreProperties>
</file>