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2B" w:val="clear"/>
            <w:tcMar>
              <w:top w:type="dxa" w:w="500"/>
              <w:left w:type="dxa" w:w="480"/>
              <w:bottom w:type="dxa" w:w="500"/>
              <w:right w:type="dxa" w:w="480"/>
            </w:tcMar>
          </w:tcPr>
          <w:p>
            <w:pPr>
              <w:spacing w:before="0" w:after="80"/>
              <w:jc w:val="left"/>
            </w:pPr>
            <w:r>
              <w:rPr>
                <w:rFonts w:ascii="Arial" w:cs="Arial" w:eastAsia="Arial" w:hAnsi="Arial"/>
                <w:b/>
                <w:bCs/>
                <w:color w:val="E85D1E"/>
                <w:sz w:val="56"/>
                <w:szCs w:val="56"/>
              </w:rPr>
              <w:t xml:space="preserve">CANTO</w:t>
            </w:r>
          </w:p>
          <w:p>
            <w:pPr>
              <w:spacing w:before="0" w:after="80"/>
            </w:pPr>
            <w:r>
              <w:rPr>
                <w:rFonts w:ascii="Arial" w:cs="Arial" w:eastAsia="Arial" w:hAnsi="Arial"/>
                <w:b/>
                <w:bCs/>
                <w:color w:val="FFFFFF"/>
                <w:sz w:val="40"/>
                <w:szCs w:val="40"/>
              </w:rPr>
              <w:t xml:space="preserve">Partner Marketing Plan</w:t>
            </w:r>
          </w:p>
          <w:p>
            <w:pPr>
              <w:spacing w:before="0" w:after="200"/>
            </w:pPr>
            <w:r>
              <w:rPr>
                <w:rFonts w:ascii="Arial" w:cs="Arial" w:eastAsia="Arial" w:hAnsi="Arial"/>
                <w:color w:val="B0BAC8"/>
                <w:sz w:val="26"/>
                <w:szCs w:val="26"/>
              </w:rPr>
              <w:t xml:space="preserve">Events · Experiences · Co-Marketing  ·  March – December 2026</w:t>
            </w:r>
          </w:p>
          <w:p>
            <w:pPr>
              <w:spacing w:before="0" w:after="0"/>
            </w:pPr>
            <w:r>
              <w:rPr>
                <w:rFonts w:ascii="Arial" w:cs="Arial" w:eastAsia="Arial" w:hAnsi="Arial"/>
                <w:color w:val="6B7280"/>
                <w:sz w:val="20"/>
                <w:szCs w:val="20"/>
              </w:rPr>
              <w:t xml:space="preserve">Prepared by: Adam  ·  Channel Partnerships</w:t>
            </w:r>
          </w:p>
        </w:tc>
      </w:tr>
    </w:tbl>
    <w:p>
      <w:pPr>
        <w:spacing w:before="0" w:after="30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The Strategy in One Page</w:t>
      </w:r>
    </w:p>
    <w:p>
      <w:pPr>
        <w:spacing w:before="60" w:after="60"/>
      </w:pPr>
      <w:r>
        <w:rPr>
          <w:rFonts w:ascii="Arial" w:cs="Arial" w:eastAsia="Arial" w:hAnsi="Arial"/>
          <w:color w:val="1A1F2B"/>
          <w:sz w:val="22"/>
          <w:szCs w:val="22"/>
        </w:rPr>
        <w:t xml:space="preserve">The goal is $250K in net new partner-sourced pipeline by year end — roughly 8-9 closed deals at $30K ACV. Partners are the multiplier. The question is where to show up with the right partners, in front of the right buyers, in ways that create actual commercial momentum rather than business card exchanges.</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ICP reminder:  </w:t>
            </w:r>
            <w:r>
              <w:rPr>
                <w:rFonts w:ascii="Arial" w:cs="Arial" w:eastAsia="Arial" w:hAnsi="Arial"/>
                <w:color w:val="1A1F2B"/>
                <w:sz w:val="20"/>
                <w:szCs w:val="20"/>
              </w:rPr>
              <w:t xml:space="preserve">Creative Director or Marketing Director at a $20M–$150M product brand in CPG, food &amp; bev, fashion, sporting goods, or health &amp; beauty. Came from Google Drive or FTP. 100–2,000 SKUs. No DAM. No PIM. Buying because a retailer demand or a growth inflection broke their spreadsheet system.</w:t>
            </w:r>
          </w:p>
        </w:tc>
      </w:tr>
    </w:tbl>
    <w:p>
      <w:pPr>
        <w:spacing w:before="0" w:after="120"/>
      </w:pPr>
      <w:r>
        <w:rPr>
          <w:rFonts w:ascii="Arial" w:cs="Arial" w:eastAsia="Arial" w:hAnsi="Arial"/>
          <w:color w:val="1A1F2B"/>
          <w:sz w:val="22"/>
          <w:szCs w:val="22"/>
        </w:rPr>
        <w:t xml:space="preserve"/>
      </w:r>
    </w:p>
    <w:p>
      <w:pPr>
        <w:spacing w:before="60" w:after="60"/>
      </w:pPr>
      <w:r>
        <w:rPr>
          <w:rFonts w:ascii="Arial" w:cs="Arial" w:eastAsia="Arial" w:hAnsi="Arial"/>
          <w:color w:val="1A1F2B"/>
          <w:sz w:val="22"/>
          <w:szCs w:val="22"/>
        </w:rPr>
        <w:t xml:space="preserve">The event strategy has three distinct modes, each serving a different part of the partner motion:</w:t>
      </w:r>
    </w:p>
    <w:p>
      <w:pPr>
        <w:pStyle w:val="ListParagraph"/>
        <w:numPr>
          <w:ilvl w:val="0"/>
          <w:numId w:val="2"/>
        </w:numPr>
        <w:spacing w:before="40" w:after="40"/>
      </w:pPr>
      <w:r>
        <w:rPr>
          <w:rFonts w:ascii="Arial" w:cs="Arial" w:eastAsia="Arial" w:hAnsi="Arial"/>
          <w:color w:val="1A1F2B"/>
          <w:sz w:val="22"/>
          <w:szCs w:val="22"/>
        </w:rPr>
        <w:t xml:space="preserve">Attend with partners — show up at their industry events to deepen the relationship, meet their clients, and build referral habits organically</w:t>
      </w:r>
    </w:p>
    <w:p>
      <w:pPr>
        <w:pStyle w:val="ListParagraph"/>
        <w:numPr>
          <w:ilvl w:val="0"/>
          <w:numId w:val="2"/>
        </w:numPr>
        <w:spacing w:before="40" w:after="40"/>
      </w:pPr>
      <w:r>
        <w:rPr>
          <w:rFonts w:ascii="Arial" w:cs="Arial" w:eastAsia="Arial" w:hAnsi="Arial"/>
          <w:color w:val="1A1F2B"/>
          <w:sz w:val="22"/>
          <w:szCs w:val="22"/>
        </w:rPr>
        <w:t xml:space="preserve">Host curated experiences — small, high-ROI dinners and roundtables that create the kind of intimacy a 10x10 booth never does</w:t>
      </w:r>
    </w:p>
    <w:p>
      <w:pPr>
        <w:pStyle w:val="ListParagraph"/>
        <w:numPr>
          <w:ilvl w:val="0"/>
          <w:numId w:val="2"/>
        </w:numPr>
        <w:spacing w:before="40" w:after="40"/>
      </w:pPr>
      <w:r>
        <w:rPr>
          <w:rFonts w:ascii="Arial" w:cs="Arial" w:eastAsia="Arial" w:hAnsi="Arial"/>
          <w:color w:val="1A1F2B"/>
          <w:sz w:val="22"/>
          <w:szCs w:val="22"/>
        </w:rPr>
        <w:t xml:space="preserve">Sponsor or speak at DAM-adjacent events — where independent consultants and practitioners are looking for a vendor they can recommend</w:t>
      </w:r>
    </w:p>
    <w:p>
      <w:pPr>
        <w:spacing w:before="0" w:after="12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Event Calendar: March – December 2026</w:t>
      </w:r>
    </w:p>
    <w:p>
      <w:pPr>
        <w:spacing w:before="60" w:after="60"/>
      </w:pPr>
      <w:r>
        <w:rPr>
          <w:rFonts w:ascii="Arial" w:cs="Arial" w:eastAsia="Arial" w:hAnsi="Arial"/>
          <w:color w:val="1A1F2B"/>
          <w:sz w:val="22"/>
          <w:szCs w:val="22"/>
        </w:rPr>
        <w:t xml:space="preserve">All confirmed dates based on current announced schedules. Priority tier: ★★★ = must attend, ★★ = high value if budget allows, ★ = monitor / partner activation only.</w:t>
      </w:r>
    </w:p>
    <w:p>
      <w:pPr>
        <w:spacing w:before="0" w:after="10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Q2: April – June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600"/>
        <w:gridCol w:w="2560"/>
        <w:gridCol w:w="1700"/>
      </w:tblGrid>
      <w:tr>
        <w:trPr>
          <w:tblHeader/>
        </w:trPr>
        <w:tc>
          <w:tcPr>
            <w:tcW w:type="dxa" w:w="24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Event</w:t>
            </w:r>
          </w:p>
        </w:tc>
        <w:tc>
          <w:tcPr>
            <w:tcW w:type="dxa" w:w="11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Date</w:t>
            </w:r>
          </w:p>
        </w:tc>
        <w:tc>
          <w:tcPr>
            <w:tcW w:type="dxa" w:w="16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Who Goes</w:t>
            </w:r>
          </w:p>
        </w:tc>
        <w:tc>
          <w:tcPr>
            <w:tcW w:type="dxa" w:w="256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Your Role</w:t>
            </w:r>
          </w:p>
        </w:tc>
        <w:tc>
          <w:tcPr>
            <w:tcW w:type="dxa" w:w="17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Salsify Digital Shelf Summit</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May 4–6</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Sitation/Gournay</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Attend as partner guest; host dinner night 2</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w:t>
            </w:r>
          </w:p>
        </w:tc>
      </w:tr>
      <w:tr>
        <w:tc>
          <w:tcPr>
            <w:tcW w:type="dxa" w:w="24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Summer Fancy Food Show (SFA)</w:t>
            </w:r>
          </w:p>
        </w:tc>
        <w:tc>
          <w:tcPr>
            <w:tcW w:type="dxa" w:w="11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June 28–30 · NYC</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Barrel/Netalico</w:t>
            </w:r>
          </w:p>
        </w:tc>
        <w:tc>
          <w:tcPr>
            <w:tcW w:type="dxa" w:w="25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Walk floor with agency partner; host brand-side dinner</w:t>
            </w:r>
          </w:p>
        </w:tc>
        <w:tc>
          <w:tcPr>
            <w:tcW w:type="dxa" w:w="17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MAGIC Las Vegas (Fashion)</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Apr 28–29</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alone or with Avex/BlueSwitch</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Attend; identify fashion brand buyers in pain</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0F7173"/>
                <w:sz w:val="19"/>
                <w:szCs w:val="19"/>
              </w:rPr>
              <w:t xml:space="preserve">★★</w:t>
            </w:r>
          </w:p>
        </w:tc>
      </w:tr>
      <w:tr>
        <w:tc>
          <w:tcPr>
            <w:tcW w:type="dxa" w:w="24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DAM Europe (Henry Stewart)</w:t>
            </w:r>
          </w:p>
        </w:tc>
        <w:tc>
          <w:tcPr>
            <w:tcW w:type="dxa" w:w="11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Jun 25–26 · London</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consultant targets</w:t>
            </w:r>
          </w:p>
        </w:tc>
        <w:tc>
          <w:tcPr>
            <w:tcW w:type="dxa" w:w="25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Sponsor or attend; recruit independent consultants</w:t>
            </w:r>
          </w:p>
        </w:tc>
        <w:tc>
          <w:tcPr>
            <w:tcW w:type="dxa" w:w="17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0F7173"/>
                <w:sz w:val="19"/>
                <w:szCs w:val="19"/>
              </w:rPr>
              <w:t xml:space="preserve">★★</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DAM LA (Henry Stewart)</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Mar 18–19 · LA</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consultant targets</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Already happened — use attendee list for outreach</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6B7280"/>
                <w:sz w:val="19"/>
                <w:szCs w:val="19"/>
              </w:rPr>
              <w:t xml:space="preserve">★</w:t>
            </w:r>
          </w:p>
        </w:tc>
      </w:tr>
    </w:tbl>
    <w:p>
      <w:pPr>
        <w:spacing w:before="0" w:after="12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Q3: July – September (Activate &amp; Co-Sell)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600"/>
        <w:gridCol w:w="2560"/>
        <w:gridCol w:w="1700"/>
      </w:tblGrid>
      <w:tr>
        <w:trPr>
          <w:tblHeader/>
        </w:trPr>
        <w:tc>
          <w:tcPr>
            <w:tcW w:type="dxa" w:w="24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Event</w:t>
            </w:r>
          </w:p>
        </w:tc>
        <w:tc>
          <w:tcPr>
            <w:tcW w:type="dxa" w:w="11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Date</w:t>
            </w:r>
          </w:p>
        </w:tc>
        <w:tc>
          <w:tcPr>
            <w:tcW w:type="dxa" w:w="16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Who Goes</w:t>
            </w:r>
          </w:p>
        </w:tc>
        <w:tc>
          <w:tcPr>
            <w:tcW w:type="dxa" w:w="256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Your Role</w:t>
            </w:r>
          </w:p>
        </w:tc>
        <w:tc>
          <w:tcPr>
            <w:tcW w:type="dxa" w:w="17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Shopify dot.dev (Partner/Dev)</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Jul 21–22 · Toronto</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Barrel/Avex/BlueSwitch/Netalico</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Attend with agency partners; side dinner for their CPG clients</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w:t>
            </w:r>
          </w:p>
        </w:tc>
      </w:tr>
      <w:tr>
        <w:tc>
          <w:tcPr>
            <w:tcW w:type="dxa" w:w="24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MAGIC Las Vegas (Aug)</w:t>
            </w:r>
          </w:p>
        </w:tc>
        <w:tc>
          <w:tcPr>
            <w:tcW w:type="dxa" w:w="11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Aug 10–12 · Las Vegas</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Avex/BlueSwitch</w:t>
            </w:r>
          </w:p>
        </w:tc>
        <w:tc>
          <w:tcPr>
            <w:tcW w:type="dxa" w:w="25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Co-attend with fashion agency partners; warm intros to clients</w:t>
            </w:r>
          </w:p>
        </w:tc>
        <w:tc>
          <w:tcPr>
            <w:tcW w:type="dxa" w:w="17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0F7173"/>
                <w:sz w:val="19"/>
                <w:szCs w:val="19"/>
              </w:rPr>
              <w:t xml:space="preserve">★★</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Henry Stewart DAM NYC</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Oct 1–2 · NYC</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consultant network</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Sponsor or speak; primary consultant recruitment event</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w:t>
            </w:r>
          </w:p>
        </w:tc>
      </w:tr>
    </w:tbl>
    <w:p>
      <w:pPr>
        <w:spacing w:before="0" w:after="12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Q4: October – December (Close &amp;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600"/>
        <w:gridCol w:w="2560"/>
        <w:gridCol w:w="1700"/>
      </w:tblGrid>
      <w:tr>
        <w:trPr>
          <w:tblHeader/>
        </w:trPr>
        <w:tc>
          <w:tcPr>
            <w:tcW w:type="dxa" w:w="24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Event</w:t>
            </w:r>
          </w:p>
        </w:tc>
        <w:tc>
          <w:tcPr>
            <w:tcW w:type="dxa" w:w="11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Date</w:t>
            </w:r>
          </w:p>
        </w:tc>
        <w:tc>
          <w:tcPr>
            <w:tcW w:type="dxa" w:w="16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Who Goes</w:t>
            </w:r>
          </w:p>
        </w:tc>
        <w:tc>
          <w:tcPr>
            <w:tcW w:type="dxa" w:w="256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Your Role</w:t>
            </w:r>
          </w:p>
        </w:tc>
        <w:tc>
          <w:tcPr>
            <w:tcW w:type="dxa" w:w="17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Henry Stewart DAM NYC</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Oct 1–2 · NYC</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all active partners</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Dinner night 1 for active partner cohort; meet prospects</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w:t>
            </w:r>
          </w:p>
        </w:tc>
      </w:tr>
      <w:tr>
        <w:tc>
          <w:tcPr>
            <w:tcW w:type="dxa" w:w="24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MAGIC Nashville (Women's/Young Contemp)</w:t>
            </w:r>
          </w:p>
        </w:tc>
        <w:tc>
          <w:tcPr>
            <w:tcW w:type="dxa" w:w="11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Apr 28–29</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You + Avex/BlueSwitch</w:t>
            </w:r>
          </w:p>
        </w:tc>
        <w:tc>
          <w:tcPr>
            <w:tcW w:type="dxa" w:w="25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Fashion-specific; attend with agency partners</w:t>
            </w:r>
          </w:p>
        </w:tc>
        <w:tc>
          <w:tcPr>
            <w:tcW w:type="dxa" w:w="17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6B7280"/>
                <w:sz w:val="19"/>
                <w:szCs w:val="19"/>
              </w:rPr>
              <w:t xml:space="preserve">★</w:t>
            </w:r>
          </w:p>
        </w:tc>
      </w:tr>
      <w:tr>
        <w:tc>
          <w:tcPr>
            <w:tcW w:type="dxa" w:w="24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1A1F2B"/>
                <w:sz w:val="19"/>
                <w:szCs w:val="19"/>
              </w:rPr>
              <w:t xml:space="preserve">Year-End Partner Dinner</w:t>
            </w:r>
          </w:p>
        </w:tc>
        <w:tc>
          <w:tcPr>
            <w:tcW w:type="dxa" w:w="11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Nov/Dec · TBD city</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All active partners (6–8 people)</w:t>
            </w:r>
          </w:p>
        </w:tc>
        <w:tc>
          <w:tcPr>
            <w:tcW w:type="dxa" w:w="25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Closed-door dinner; celebrate wins, lock in 2027 commitments</w:t>
            </w:r>
          </w:p>
        </w:tc>
        <w:tc>
          <w:tcPr>
            <w:tcW w:type="dxa" w:w="17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w:t>
            </w:r>
          </w:p>
        </w:tc>
      </w:tr>
    </w:tbl>
    <w:p>
      <w:pPr>
        <w:spacing w:before="0" w:after="16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Must-Attend Events: Detailed Playbook</w:t>
      </w:r>
    </w:p>
    <w:p>
      <w:pPr>
        <w:pStyle w:val="Heading2"/>
        <w:spacing w:before="320" w:after="120"/>
      </w:pPr>
      <w:r>
        <w:rPr>
          <w:rFonts w:ascii="Arial" w:cs="Arial" w:eastAsia="Arial" w:hAnsi="Arial"/>
          <w:b/>
          <w:bCs/>
          <w:color w:val="1A1F2B"/>
          <w:sz w:val="28"/>
          <w:szCs w:val="28"/>
        </w:rPr>
        <w:t xml:space="preserve">1. Salsify Digital Shelf Summit — May 4–6, Atlanta</w:t>
      </w:r>
    </w:p>
    <w:p>
      <w:pPr>
        <w:spacing w:before="60" w:after="60"/>
      </w:pPr>
      <w:r>
        <w:rPr>
          <w:rFonts w:ascii="Arial" w:cs="Arial" w:eastAsia="Arial" w:hAnsi="Arial"/>
          <w:color w:val="1A1F2B"/>
          <w:sz w:val="22"/>
          <w:szCs w:val="22"/>
        </w:rPr>
        <w:t xml:space="preserve">This is your single highest-ROI event of Q2. Sitation (Platinum Salsify partner, Score 27) and Gournay (Score 28) will both be here. Their clients — CPG, food &amp; bev, manufacturing brands — are your exact ICP. You are in a room full of the people who have already paid for the thing that sits upstream of what you sell.</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Who to Bring</w:t>
      </w:r>
    </w:p>
    <w:p>
      <w:pPr>
        <w:pStyle w:val="ListParagraph"/>
        <w:numPr>
          <w:ilvl w:val="0"/>
          <w:numId w:val="2"/>
        </w:numPr>
        <w:spacing w:before="40" w:after="40"/>
      </w:pPr>
      <w:r>
        <w:rPr>
          <w:rFonts w:ascii="Arial" w:cs="Arial" w:eastAsia="Arial" w:hAnsi="Arial"/>
          <w:color w:val="1A1F2B"/>
          <w:sz w:val="22"/>
          <w:szCs w:val="22"/>
        </w:rPr>
        <w:t xml:space="preserve">Sitation contact — if they've responded to outreach, this is where you take the relationship off-screen</w:t>
      </w:r>
    </w:p>
    <w:p>
      <w:pPr>
        <w:pStyle w:val="ListParagraph"/>
        <w:numPr>
          <w:ilvl w:val="0"/>
          <w:numId w:val="2"/>
        </w:numPr>
        <w:spacing w:before="40" w:after="40"/>
      </w:pPr>
      <w:r>
        <w:rPr>
          <w:rFonts w:ascii="Arial" w:cs="Arial" w:eastAsia="Arial" w:hAnsi="Arial"/>
          <w:color w:val="1A1F2B"/>
          <w:sz w:val="22"/>
          <w:szCs w:val="22"/>
        </w:rPr>
        <w:t xml:space="preserve">Gournay contact — same play</w:t>
      </w:r>
    </w:p>
    <w:p>
      <w:pPr>
        <w:pStyle w:val="ListParagraph"/>
        <w:numPr>
          <w:ilvl w:val="0"/>
          <w:numId w:val="2"/>
        </w:numPr>
        <w:spacing w:before="40" w:after="40"/>
      </w:pPr>
      <w:r>
        <w:rPr>
          <w:rFonts w:ascii="Arial" w:cs="Arial" w:eastAsia="Arial" w:hAnsi="Arial"/>
          <w:color w:val="1A1F2B"/>
          <w:sz w:val="22"/>
          <w:szCs w:val="22"/>
        </w:rPr>
        <w:t xml:space="preserve">If neither has engaged yet, use this event as the trigger: 'I'll be at Digital Shelf Summit. Would love to grab 20 min on the sidelines.'</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What to Do There</w:t>
      </w:r>
    </w:p>
    <w:p>
      <w:pPr>
        <w:pStyle w:val="ListParagraph"/>
        <w:numPr>
          <w:ilvl w:val="0"/>
          <w:numId w:val="2"/>
        </w:numPr>
        <w:spacing w:before="40" w:after="40"/>
      </w:pPr>
      <w:r>
        <w:rPr>
          <w:rFonts w:ascii="Arial" w:cs="Arial" w:eastAsia="Arial" w:hAnsi="Arial"/>
          <w:color w:val="1A1F2B"/>
          <w:sz w:val="22"/>
          <w:szCs w:val="22"/>
        </w:rPr>
        <w:t xml:space="preserve">Day 1: Walk the floor. Map which CPG and food &amp; bev brands are in attendance. Those are the Canto prospects your SI partners will recognize.</w:t>
      </w:r>
    </w:p>
    <w:p>
      <w:pPr>
        <w:pStyle w:val="ListParagraph"/>
        <w:numPr>
          <w:ilvl w:val="0"/>
          <w:numId w:val="2"/>
        </w:numPr>
        <w:spacing w:before="40" w:after="40"/>
      </w:pPr>
      <w:r>
        <w:rPr>
          <w:rFonts w:ascii="Arial" w:cs="Arial" w:eastAsia="Arial" w:hAnsi="Arial"/>
          <w:color w:val="1A1F2B"/>
          <w:sz w:val="22"/>
          <w:szCs w:val="22"/>
        </w:rPr>
        <w:t xml:space="preserve">Night 2: Host a dinner. 8–10 people max. See dinner playbook below.</w:t>
      </w:r>
    </w:p>
    <w:p>
      <w:pPr>
        <w:pStyle w:val="ListParagraph"/>
        <w:numPr>
          <w:ilvl w:val="0"/>
          <w:numId w:val="2"/>
        </w:numPr>
        <w:spacing w:before="40" w:after="40"/>
      </w:pPr>
      <w:r>
        <w:rPr>
          <w:rFonts w:ascii="Arial" w:cs="Arial" w:eastAsia="Arial" w:hAnsi="Arial"/>
          <w:color w:val="1A1F2B"/>
          <w:sz w:val="22"/>
          <w:szCs w:val="22"/>
        </w:rPr>
        <w:t xml:space="preserve">Day 2/3: Attend the sessions. The content validates Canto's positioning — when a panelist says 'we still have no governance over our images,' that's your moment.</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Dinner Target List:  </w:t>
            </w:r>
            <w:r>
              <w:rPr>
                <w:rFonts w:ascii="Arial" w:cs="Arial" w:eastAsia="Arial" w:hAnsi="Arial"/>
                <w:color w:val="1A1F2B"/>
                <w:sz w:val="20"/>
                <w:szCs w:val="20"/>
              </w:rPr>
              <w:t xml:space="preserve">Sitation + Gournay contacts, 2–3 CPG brand-side attendees you've pre-identified from the attendee list, 1 Canto customer in the vertical as a reference (if available). No more than 10 seats. No presentations.</w:t>
            </w:r>
          </w:p>
        </w:tc>
      </w:tr>
    </w:tbl>
    <w:p>
      <w:pPr>
        <w:spacing w:before="0" w:after="16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2. Summer Fancy Food Show — June 28–30, NYC (Javits)</w:t>
      </w:r>
    </w:p>
    <w:p>
      <w:pPr>
        <w:spacing w:before="60" w:after="60"/>
      </w:pPr>
      <w:r>
        <w:rPr>
          <w:rFonts w:ascii="Arial" w:cs="Arial" w:eastAsia="Arial" w:hAnsi="Arial"/>
          <w:color w:val="1A1F2B"/>
          <w:sz w:val="22"/>
          <w:szCs w:val="22"/>
        </w:rPr>
        <w:t xml:space="preserve">30,000+ food &amp; bev professionals. 2,400+ exhibitors. The brands walking this floor are exactly who Barrel and Netalico work with — and exactly who buys Canto DAM for Products. This is not a tech conference. You are not a vendor here. You are a partner showing up at your partner's client's event.</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The Play</w:t>
      </w:r>
    </w:p>
    <w:p>
      <w:pPr>
        <w:pStyle w:val="ListParagraph"/>
        <w:numPr>
          <w:ilvl w:val="0"/>
          <w:numId w:val="2"/>
        </w:numPr>
        <w:spacing w:before="40" w:after="40"/>
      </w:pPr>
      <w:r>
        <w:rPr>
          <w:rFonts w:ascii="Arial" w:cs="Arial" w:eastAsia="Arial" w:hAnsi="Arial"/>
          <w:color w:val="1A1F2B"/>
          <w:sz w:val="22"/>
          <w:szCs w:val="22"/>
        </w:rPr>
        <w:t xml:space="preserve">You do not exhibit. Exhibiting at a food show as a DAM company is a waste of $15K and two days of your life.</w:t>
      </w:r>
    </w:p>
    <w:p>
      <w:pPr>
        <w:pStyle w:val="ListParagraph"/>
        <w:numPr>
          <w:ilvl w:val="0"/>
          <w:numId w:val="2"/>
        </w:numPr>
        <w:spacing w:before="40" w:after="40"/>
      </w:pPr>
      <w:r>
        <w:rPr>
          <w:rFonts w:ascii="Arial" w:cs="Arial" w:eastAsia="Arial" w:hAnsi="Arial"/>
          <w:color w:val="1A1F2B"/>
          <w:sz w:val="22"/>
          <w:szCs w:val="22"/>
        </w:rPr>
        <w:t xml:space="preserve">Instead: attend as a guest with Barrel and/or Netalico. Let them walk you through their client booths. You see the asset chaos with your own eyes. You have natural 90-second conversations.</w:t>
      </w:r>
    </w:p>
    <w:p>
      <w:pPr>
        <w:pStyle w:val="ListParagraph"/>
        <w:numPr>
          <w:ilvl w:val="0"/>
          <w:numId w:val="2"/>
        </w:numPr>
        <w:spacing w:before="40" w:after="40"/>
      </w:pPr>
      <w:r>
        <w:rPr>
          <w:rFonts w:ascii="Arial" w:cs="Arial" w:eastAsia="Arial" w:hAnsi="Arial"/>
          <w:color w:val="1A1F2B"/>
          <w:sz w:val="22"/>
          <w:szCs w:val="22"/>
        </w:rPr>
        <w:t xml:space="preserve">Pre-event: ask your agency partners to identify 3–5 of their food &amp; bev clients who will be exhibiting. You want to meet those Creative Directors and Marketing Directors in person.</w:t>
      </w:r>
    </w:p>
    <w:p>
      <w:pPr>
        <w:pStyle w:val="ListParagraph"/>
        <w:numPr>
          <w:ilvl w:val="0"/>
          <w:numId w:val="2"/>
        </w:numPr>
        <w:spacing w:before="40" w:after="40"/>
      </w:pPr>
      <w:r>
        <w:rPr>
          <w:rFonts w:ascii="Arial" w:cs="Arial" w:eastAsia="Arial" w:hAnsi="Arial"/>
          <w:color w:val="1A1F2B"/>
          <w:sz w:val="22"/>
          <w:szCs w:val="22"/>
        </w:rPr>
        <w:t xml:space="preserve">Post-show dinner: host a tight 8-person dinner in NYC that evening. Agency partner + 4–5 brand contacts you met that day. Zero pitch. Just the right room.</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This event is where referral habits get built.  </w:t>
            </w:r>
            <w:r>
              <w:rPr>
                <w:rFonts w:ascii="Arial" w:cs="Arial" w:eastAsia="Arial" w:hAnsi="Arial"/>
                <w:color w:val="1A1F2B"/>
                <w:sz w:val="20"/>
                <w:szCs w:val="20"/>
              </w:rPr>
              <w:t xml:space="preserve">A Barrel account manager who watches you have a natural conversation with a client's Marketing Director will send you deals. Not because of a commission email — because they saw it work.</w:t>
            </w:r>
          </w:p>
        </w:tc>
      </w:tr>
    </w:tbl>
    <w:p>
      <w:pPr>
        <w:spacing w:before="0" w:after="16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3. Shopify dot.dev — July 21–22, Toronto</w:t>
      </w:r>
    </w:p>
    <w:p>
      <w:pPr>
        <w:spacing w:before="60" w:after="60"/>
      </w:pPr>
      <w:r>
        <w:rPr>
          <w:rFonts w:ascii="Arial" w:cs="Arial" w:eastAsia="Arial" w:hAnsi="Arial"/>
          <w:color w:val="1A1F2B"/>
          <w:sz w:val="22"/>
          <w:szCs w:val="22"/>
        </w:rPr>
        <w:t xml:space="preserve">Shopify's annual developer and partner event. Your agency partners (Barrel, Avex, BlueSwitch, Netalico) will be here. This is the best place in the world to deepen Shopify Plus agency relationships because everyone is in a good mood and not at their desk.</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The Play</w:t>
      </w:r>
    </w:p>
    <w:p>
      <w:pPr>
        <w:pStyle w:val="ListParagraph"/>
        <w:numPr>
          <w:ilvl w:val="0"/>
          <w:numId w:val="2"/>
        </w:numPr>
        <w:spacing w:before="40" w:after="40"/>
      </w:pPr>
      <w:r>
        <w:rPr>
          <w:rFonts w:ascii="Arial" w:cs="Arial" w:eastAsia="Arial" w:hAnsi="Arial"/>
          <w:color w:val="1A1F2B"/>
          <w:sz w:val="22"/>
          <w:szCs w:val="22"/>
        </w:rPr>
        <w:t xml:space="preserve">You do not go to the developer sessions. You go to the parties, the dinners, and the side meetings.</w:t>
      </w:r>
    </w:p>
    <w:p>
      <w:pPr>
        <w:pStyle w:val="ListParagraph"/>
        <w:numPr>
          <w:ilvl w:val="0"/>
          <w:numId w:val="2"/>
        </w:numPr>
        <w:spacing w:before="40" w:after="40"/>
      </w:pPr>
      <w:r>
        <w:rPr>
          <w:rFonts w:ascii="Arial" w:cs="Arial" w:eastAsia="Arial" w:hAnsi="Arial"/>
          <w:color w:val="1A1F2B"/>
          <w:sz w:val="22"/>
          <w:szCs w:val="22"/>
        </w:rPr>
        <w:t xml:space="preserve">Book a dinner the night of July 21 — the informal night. Target 10 people: your 4–5 agency contacts + their 1 key client each. Single restaurant, private room, no projector. Topic: 'the asset problem your CPG clients hit at month 6.'</w:t>
      </w:r>
    </w:p>
    <w:p>
      <w:pPr>
        <w:pStyle w:val="ListParagraph"/>
        <w:numPr>
          <w:ilvl w:val="0"/>
          <w:numId w:val="2"/>
        </w:numPr>
        <w:spacing w:before="40" w:after="40"/>
      </w:pPr>
      <w:r>
        <w:rPr>
          <w:rFonts w:ascii="Arial" w:cs="Arial" w:eastAsia="Arial" w:hAnsi="Arial"/>
          <w:color w:val="1A1F2B"/>
          <w:sz w:val="22"/>
          <w:szCs w:val="22"/>
        </w:rPr>
        <w:t xml:space="preserve">If you have budget, host a morning coffee session July 22 for agency BD contacts: 8 people, 75 minutes, co-hosted with a partner. Topic: 'how to build a referral practice around DAM without it being weird.'</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The agency dinner is the entire event for you.  </w:t>
            </w:r>
            <w:r>
              <w:rPr>
                <w:rFonts w:ascii="Arial" w:cs="Arial" w:eastAsia="Arial" w:hAnsi="Arial"/>
                <w:color w:val="1A1F2B"/>
                <w:sz w:val="20"/>
                <w:szCs w:val="20"/>
              </w:rPr>
              <w:t xml:space="preserve">One dinner with 4 agency contacts and 4 of their CPG clients is worth more than any panel you'll attend. Set it up a month in advance. Invite people personally. Make the restaurant good.</w:t>
            </w:r>
          </w:p>
        </w:tc>
      </w:tr>
    </w:tbl>
    <w:p>
      <w:pPr>
        <w:spacing w:before="0" w:after="16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4. Henry Stewart DAM NYC — October 1–2</w:t>
      </w:r>
    </w:p>
    <w:p>
      <w:pPr>
        <w:spacing w:before="60" w:after="60"/>
      </w:pPr>
      <w:r>
        <w:rPr>
          <w:rFonts w:ascii="Arial" w:cs="Arial" w:eastAsia="Arial" w:hAnsi="Arial"/>
          <w:color w:val="1A1F2B"/>
          <w:sz w:val="22"/>
          <w:szCs w:val="22"/>
        </w:rPr>
        <w:t xml:space="preserve">The highest concentration of independent DAM consultants you will find anywhere in the US. 600+ professionals. These are the people who, when a brand comes to them and says 'we need a DAM,' make a recommendation. If Canto is in their mental shortlist, the deal is functionally closed before your AE is involved.</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Options (in priority order)</w:t>
      </w:r>
    </w:p>
    <w:p>
      <w:pPr>
        <w:pStyle w:val="ListParagraph"/>
        <w:numPr>
          <w:ilvl w:val="0"/>
          <w:numId w:val="2"/>
        </w:numPr>
        <w:spacing w:before="40" w:after="40"/>
      </w:pPr>
      <w:r>
        <w:rPr>
          <w:rFonts w:ascii="Arial" w:cs="Arial" w:eastAsia="Arial" w:hAnsi="Arial"/>
          <w:color w:val="1A1F2B"/>
          <w:sz w:val="22"/>
          <w:szCs w:val="22"/>
        </w:rPr>
        <w:t xml:space="preserve">Sponsor with a speaking slot — best ROI. A case study presentation with a customer (Kinder's Creative Director or Nalgene's Director of Marketing) is more effective than any booth. Real buyer talking to practitioners.</w:t>
      </w:r>
    </w:p>
    <w:p>
      <w:pPr>
        <w:pStyle w:val="ListParagraph"/>
        <w:numPr>
          <w:ilvl w:val="0"/>
          <w:numId w:val="2"/>
        </w:numPr>
        <w:spacing w:before="40" w:after="40"/>
      </w:pPr>
      <w:r>
        <w:rPr>
          <w:rFonts w:ascii="Arial" w:cs="Arial" w:eastAsia="Arial" w:hAnsi="Arial"/>
          <w:color w:val="1A1F2B"/>
          <w:sz w:val="22"/>
          <w:szCs w:val="22"/>
        </w:rPr>
        <w:t xml:space="preserve">Exhibit — if sponsorship isn't available, a small stand gives you presence. Have the partner tool and customer stories ready. Your job is not to demo the product — it's to collect business cards of consultants who advise on DAM selection.</w:t>
      </w:r>
    </w:p>
    <w:p>
      <w:pPr>
        <w:pStyle w:val="ListParagraph"/>
        <w:numPr>
          <w:ilvl w:val="0"/>
          <w:numId w:val="2"/>
        </w:numPr>
        <w:spacing w:before="40" w:after="40"/>
      </w:pPr>
      <w:r>
        <w:rPr>
          <w:rFonts w:ascii="Arial" w:cs="Arial" w:eastAsia="Arial" w:hAnsi="Arial"/>
          <w:color w:val="1A1F2B"/>
          <w:sz w:val="22"/>
          <w:szCs w:val="22"/>
        </w:rPr>
        <w:t xml:space="preserve">Attend without a presence — lowest cost, still valuable. Walk the floor, go to sessions, identify the independent consultants who speak or ask questions, and reach out the next day.</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Night 1 Dinner</w:t>
      </w:r>
    </w:p>
    <w:p>
      <w:pPr>
        <w:spacing w:before="60" w:after="60"/>
      </w:pPr>
      <w:r>
        <w:rPr>
          <w:rFonts w:ascii="Arial" w:cs="Arial" w:eastAsia="Arial" w:hAnsi="Arial"/>
          <w:color w:val="1A1F2B"/>
          <w:sz w:val="22"/>
          <w:szCs w:val="22"/>
        </w:rPr>
        <w:t xml:space="preserve">Host a dinner the evening of October 1. Target list: 4–6 independent DAM consultants you've identified from the speaker list + 1–2 active partner contacts + 1 Canto customer. No pitch. The agenda is 'what are brands getting wrong about DAM selection in 2026?' Let the consultants talk. You listen and position Canto naturally.</w:t>
      </w:r>
    </w:p>
    <w:p>
      <w:pPr>
        <w:spacing w:before="0" w:after="16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The Experience Playbook: How to Host</w:t>
      </w:r>
    </w:p>
    <w:p>
      <w:pPr>
        <w:spacing w:before="60" w:after="60"/>
      </w:pPr>
      <w:r>
        <w:rPr>
          <w:rFonts w:ascii="Arial" w:cs="Arial" w:eastAsia="Arial" w:hAnsi="Arial"/>
          <w:color w:val="1A1F2B"/>
          <w:sz w:val="22"/>
          <w:szCs w:val="22"/>
        </w:rPr>
        <w:t xml:space="preserve">You said you're an expert at creating experiences. So this section is about principles and formats, not basic logistics. The goal of every hosted experience is a single outcome: the people in the room trust you more when they leave than when they arrived. Revenue follows trust.</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The Partner Dinner (Core Format)</w:t>
      </w:r>
    </w:p>
    <w:p>
      <w:pPr>
        <w:spacing w:before="60" w:after="60"/>
      </w:pPr>
      <w:r>
        <w:rPr>
          <w:rFonts w:ascii="Arial" w:cs="Arial" w:eastAsia="Arial" w:hAnsi="Arial"/>
          <w:color w:val="1A1F2B"/>
          <w:sz w:val="22"/>
          <w:szCs w:val="22"/>
        </w:rPr>
        <w:t xml:space="preserve">8–12 people. Private room. No presentations, no name tags, no banners. The point is conversation density. Every hosted dinner should feel like something someone would talk about the next day — not because it was lavish, but because the conversation was unusually honest and the room was unusually well-curated.</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Non-Negotiables</w:t>
      </w:r>
    </w:p>
    <w:p>
      <w:pPr>
        <w:pStyle w:val="ListParagraph"/>
        <w:numPr>
          <w:ilvl w:val="0"/>
          <w:numId w:val="2"/>
        </w:numPr>
        <w:spacing w:before="40" w:after="40"/>
      </w:pPr>
      <w:r>
        <w:rPr>
          <w:rFonts w:ascii="Arial" w:cs="Arial" w:eastAsia="Arial" w:hAnsi="Arial"/>
          <w:color w:val="1A1F2B"/>
          <w:sz w:val="22"/>
          <w:szCs w:val="22"/>
        </w:rPr>
        <w:t xml:space="preserve">Venue matters. A private room at a restaurant people already know is better than a private room at a restaurant nobody cares about. Spend the extra $200 on the venue. Spend less on the wine.</w:t>
      </w:r>
    </w:p>
    <w:p>
      <w:pPr>
        <w:pStyle w:val="ListParagraph"/>
        <w:numPr>
          <w:ilvl w:val="0"/>
          <w:numId w:val="2"/>
        </w:numPr>
        <w:spacing w:before="40" w:after="40"/>
      </w:pPr>
      <w:r>
        <w:rPr>
          <w:rFonts w:ascii="Arial" w:cs="Arial" w:eastAsia="Arial" w:hAnsi="Arial"/>
          <w:color w:val="1A1F2B"/>
          <w:sz w:val="22"/>
          <w:szCs w:val="22"/>
        </w:rPr>
        <w:t xml:space="preserve">Seat it deliberately. Put the person most likely to refer next to the person most likely to be referred. If there's a Canto customer in the room, seat them next to the SI contact, not across the table.</w:t>
      </w:r>
    </w:p>
    <w:p>
      <w:pPr>
        <w:pStyle w:val="ListParagraph"/>
        <w:numPr>
          <w:ilvl w:val="0"/>
          <w:numId w:val="2"/>
        </w:numPr>
        <w:spacing w:before="40" w:after="40"/>
      </w:pPr>
      <w:r>
        <w:rPr>
          <w:rFonts w:ascii="Arial" w:cs="Arial" w:eastAsia="Arial" w:hAnsi="Arial"/>
          <w:color w:val="1A1F2B"/>
          <w:sz w:val="22"/>
          <w:szCs w:val="22"/>
        </w:rPr>
        <w:t xml:space="preserve">One table topic. Have a real question ready that isn't about Canto: 'What's the most broken part of how mid-market brands manage their product content right now?' Let them diagnose the problem you solve.</w:t>
      </w:r>
    </w:p>
    <w:p>
      <w:pPr>
        <w:pStyle w:val="ListParagraph"/>
        <w:numPr>
          <w:ilvl w:val="0"/>
          <w:numId w:val="2"/>
        </w:numPr>
        <w:spacing w:before="40" w:after="40"/>
      </w:pPr>
      <w:r>
        <w:rPr>
          <w:rFonts w:ascii="Arial" w:cs="Arial" w:eastAsia="Arial" w:hAnsi="Arial"/>
          <w:color w:val="1A1F2B"/>
          <w:sz w:val="22"/>
          <w:szCs w:val="22"/>
        </w:rPr>
        <w:t xml:space="preserve">No sponsor logos. No Canto deck. No thank you for attending. Just the dinner.</w:t>
      </w:r>
    </w:p>
    <w:p>
      <w:pPr>
        <w:pStyle w:val="ListParagraph"/>
        <w:numPr>
          <w:ilvl w:val="0"/>
          <w:numId w:val="2"/>
        </w:numPr>
        <w:spacing w:before="40" w:after="40"/>
      </w:pPr>
      <w:r>
        <w:rPr>
          <w:rFonts w:ascii="Arial" w:cs="Arial" w:eastAsia="Arial" w:hAnsi="Arial"/>
          <w:color w:val="1A1F2B"/>
          <w:sz w:val="22"/>
          <w:szCs w:val="22"/>
        </w:rPr>
        <w:t xml:space="preserve">Follow up the next morning. Not with a sales email — with a reference to something specific someone said at dinner.</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The Vertical Roundtable (Scalable Format)</w:t>
      </w:r>
    </w:p>
    <w:p>
      <w:pPr>
        <w:spacing w:before="60" w:after="60"/>
      </w:pPr>
      <w:r>
        <w:rPr>
          <w:rFonts w:ascii="Arial" w:cs="Arial" w:eastAsia="Arial" w:hAnsi="Arial"/>
          <w:color w:val="1A1F2B"/>
          <w:sz w:val="22"/>
          <w:szCs w:val="22"/>
        </w:rPr>
        <w:t xml:space="preserve">4–8 brand-side buyers (Creative Directors, Marketing Directors, Heads of E-Commerce) in a single vertical, hosted by you and one partner. 90 minutes. Facilitated conversation. Position: your partner is the host, you're a resource.</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Format</w:t>
      </w:r>
    </w:p>
    <w:p>
      <w:pPr>
        <w:pStyle w:val="ListParagraph"/>
        <w:numPr>
          <w:ilvl w:val="0"/>
          <w:numId w:val="2"/>
        </w:numPr>
        <w:spacing w:before="40" w:after="40"/>
      </w:pPr>
      <w:r>
        <w:rPr>
          <w:rFonts w:ascii="Arial" w:cs="Arial" w:eastAsia="Arial" w:hAnsi="Arial"/>
          <w:color w:val="1A1F2B"/>
          <w:sz w:val="22"/>
          <w:szCs w:val="22"/>
        </w:rPr>
        <w:t xml:space="preserve">Partner sends the invite. Their relationship, their client list. You co-host.</w:t>
      </w:r>
    </w:p>
    <w:p>
      <w:pPr>
        <w:pStyle w:val="ListParagraph"/>
        <w:numPr>
          <w:ilvl w:val="0"/>
          <w:numId w:val="2"/>
        </w:numPr>
        <w:spacing w:before="40" w:after="40"/>
      </w:pPr>
      <w:r>
        <w:rPr>
          <w:rFonts w:ascii="Arial" w:cs="Arial" w:eastAsia="Arial" w:hAnsi="Arial"/>
          <w:color w:val="1A1F2B"/>
          <w:sz w:val="22"/>
          <w:szCs w:val="22"/>
        </w:rPr>
        <w:t xml:space="preserve">Frame as a peer exchange, not a vendor event: 'How are brands in [vertical] managing product asset distribution in 2026?'</w:t>
      </w:r>
    </w:p>
    <w:p>
      <w:pPr>
        <w:pStyle w:val="ListParagraph"/>
        <w:numPr>
          <w:ilvl w:val="0"/>
          <w:numId w:val="2"/>
        </w:numPr>
        <w:spacing w:before="40" w:after="40"/>
      </w:pPr>
      <w:r>
        <w:rPr>
          <w:rFonts w:ascii="Arial" w:cs="Arial" w:eastAsia="Arial" w:hAnsi="Arial"/>
          <w:color w:val="1A1F2B"/>
          <w:sz w:val="22"/>
          <w:szCs w:val="22"/>
        </w:rPr>
        <w:t xml:space="preserve">First 60 minutes: facilitated discussion. You ask questions. Partners and buyers talk. Canto comes up naturally when someone describes a problem you solve.</w:t>
      </w:r>
    </w:p>
    <w:p>
      <w:pPr>
        <w:pStyle w:val="ListParagraph"/>
        <w:numPr>
          <w:ilvl w:val="0"/>
          <w:numId w:val="2"/>
        </w:numPr>
        <w:spacing w:before="40" w:after="40"/>
      </w:pPr>
      <w:r>
        <w:rPr>
          <w:rFonts w:ascii="Arial" w:cs="Arial" w:eastAsia="Arial" w:hAnsi="Arial"/>
          <w:color w:val="1A1F2B"/>
          <w:sz w:val="22"/>
          <w:szCs w:val="22"/>
        </w:rPr>
        <w:t xml:space="preserve">Last 30 minutes: brief (5 min) Canto case study from a peer brand in the same vertical. Then open questions.</w:t>
      </w:r>
    </w:p>
    <w:p>
      <w:pPr>
        <w:pStyle w:val="ListParagraph"/>
        <w:numPr>
          <w:ilvl w:val="0"/>
          <w:numId w:val="2"/>
        </w:numPr>
        <w:spacing w:before="40" w:after="40"/>
      </w:pPr>
      <w:r>
        <w:rPr>
          <w:rFonts w:ascii="Arial" w:cs="Arial" w:eastAsia="Arial" w:hAnsi="Arial"/>
          <w:color w:val="1A1F2B"/>
          <w:sz w:val="22"/>
          <w:szCs w:val="22"/>
        </w:rPr>
        <w:t xml:space="preserve">Close: everyone leaves with one thing — a 1-page 'what good looks like' asset governance guide. No pitch deck. Something they'll actually use.</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Best vertical to start:  </w:t>
            </w:r>
            <w:r>
              <w:rPr>
                <w:rFonts w:ascii="Arial" w:cs="Arial" w:eastAsia="Arial" w:hAnsi="Arial"/>
                <w:color w:val="1A1F2B"/>
                <w:sz w:val="20"/>
                <w:szCs w:val="20"/>
              </w:rPr>
              <w:t xml:space="preserve">CPG/Food &amp; Bev. Barrel + Netalico have the client base. Run one roundtable in NYC in Q3 with 6 brand contacts and watch the referral rate from those agencies double.</w:t>
            </w:r>
          </w:p>
        </w:tc>
      </w:tr>
    </w:tbl>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The Co-Sell Demo Session (Conversion Format)</w:t>
      </w:r>
    </w:p>
    <w:p>
      <w:pPr>
        <w:spacing w:before="60" w:after="60"/>
      </w:pPr>
      <w:r>
        <w:rPr>
          <w:rFonts w:ascii="Arial" w:cs="Arial" w:eastAsia="Arial" w:hAnsi="Arial"/>
          <w:color w:val="1A1F2B"/>
          <w:sz w:val="22"/>
          <w:szCs w:val="22"/>
        </w:rPr>
        <w:t xml:space="preserve">When a partner has a live prospect evaluating DAM, offer to join a 45-minute discovery call — not as a sales rep, but as a product expert. The partner runs the meeting. You answer the hard questions about how Canto works for brands like theirs. This is the highest-conversion touchpoint in the partner motion.</w:t>
      </w:r>
    </w:p>
    <w:p>
      <w:pPr>
        <w:spacing w:before="0" w:after="80"/>
      </w:pPr>
      <w:r>
        <w:rPr>
          <w:rFonts w:ascii="Arial" w:cs="Arial" w:eastAsia="Arial" w:hAnsi="Arial"/>
          <w:color w:val="1A1F2B"/>
          <w:sz w:val="22"/>
          <w:szCs w:val="22"/>
        </w:rPr>
        <w:t xml:space="preserve"/>
      </w:r>
    </w:p>
    <w:p>
      <w:pPr>
        <w:pStyle w:val="Heading3"/>
        <w:spacing w:before="240" w:after="80"/>
      </w:pPr>
      <w:r>
        <w:rPr>
          <w:rFonts w:ascii="Arial" w:cs="Arial" w:eastAsia="Arial" w:hAnsi="Arial"/>
          <w:b/>
          <w:bCs/>
          <w:color w:val="0F7173"/>
          <w:sz w:val="24"/>
          <w:szCs w:val="24"/>
        </w:rPr>
        <w:t xml:space="preserve">How to offer it</w:t>
      </w:r>
    </w:p>
    <w:p>
      <w:pPr>
        <w:pStyle w:val="ListParagraph"/>
        <w:numPr>
          <w:ilvl w:val="0"/>
          <w:numId w:val="2"/>
        </w:numPr>
        <w:spacing w:before="40" w:after="40"/>
      </w:pPr>
      <w:r>
        <w:rPr>
          <w:rFonts w:ascii="Arial" w:cs="Arial" w:eastAsia="Arial" w:hAnsi="Arial"/>
          <w:color w:val="1A1F2B"/>
          <w:sz w:val="22"/>
          <w:szCs w:val="22"/>
        </w:rPr>
        <w:t xml:space="preserve">During your partner activation call: 'Anytime you have a client where DAM comes up, loop me in. I'll join 30–45 minutes, you run the conversation. No awkward handoff.'</w:t>
      </w:r>
    </w:p>
    <w:p>
      <w:pPr>
        <w:pStyle w:val="ListParagraph"/>
        <w:numPr>
          <w:ilvl w:val="0"/>
          <w:numId w:val="2"/>
        </w:numPr>
        <w:spacing w:before="40" w:after="40"/>
      </w:pPr>
      <w:r>
        <w:rPr>
          <w:rFonts w:ascii="Arial" w:cs="Arial" w:eastAsia="Arial" w:hAnsi="Arial"/>
          <w:color w:val="1A1F2B"/>
          <w:sz w:val="22"/>
          <w:szCs w:val="22"/>
        </w:rPr>
        <w:t xml:space="preserve">Give them a template to use with their client: one sentence. 'I've been working with the Canto team — they work with brands like [Kinder's/Nalgene] in your vertical. Would it help to have them join a call?'</w:t>
      </w:r>
    </w:p>
    <w:p>
      <w:pPr>
        <w:pStyle w:val="ListParagraph"/>
        <w:numPr>
          <w:ilvl w:val="0"/>
          <w:numId w:val="2"/>
        </w:numPr>
        <w:spacing w:before="40" w:after="40"/>
      </w:pPr>
      <w:r>
        <w:rPr>
          <w:rFonts w:ascii="Arial" w:cs="Arial" w:eastAsia="Arial" w:hAnsi="Arial"/>
          <w:color w:val="1A1F2B"/>
          <w:sz w:val="22"/>
          <w:szCs w:val="22"/>
        </w:rPr>
        <w:t xml:space="preserve">This builds referral habits faster than any email sequence. The first time it works, the partner will use it repeatedly.</w:t>
      </w:r>
    </w:p>
    <w:p>
      <w:pPr>
        <w:spacing w:before="0" w:after="16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Co-Marketing Channels</w:t>
      </w:r>
    </w:p>
    <w:p>
      <w:pPr>
        <w:spacing w:before="60" w:after="60"/>
      </w:pPr>
      <w:r>
        <w:rPr>
          <w:rFonts w:ascii="Arial" w:cs="Arial" w:eastAsia="Arial" w:hAnsi="Arial"/>
          <w:color w:val="1A1F2B"/>
          <w:sz w:val="22"/>
          <w:szCs w:val="22"/>
        </w:rPr>
        <w:t xml:space="preserve">Events are expensive and time-bounded. The channels below run between events and create the ambient pressure that makes your outreach land better when you do show up.</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5CC" w:sz="1"/>
              <w:left w:val="single" w:color="E0D5CC" w:sz="1"/>
              <w:bottom w:val="single" w:color="E0D5CC" w:sz="1"/>
              <w:right w:val="single" w:color="E0D5CC" w:sz="1"/>
            </w:tcBorders>
            <w:shd w:fill="FDF4EE" w:val="clear"/>
            <w:tcMar>
              <w:top w:type="dxa" w:w="160"/>
              <w:left w:type="dxa" w:w="200"/>
              <w:bottom w:type="dxa" w:w="160"/>
              <w:right w:type="dxa" w:w="200"/>
            </w:tcMar>
          </w:tcPr>
          <w:p>
            <w:pPr>
              <w:spacing w:before="0" w:after="80"/>
            </w:pPr>
            <w:r>
              <w:rPr>
                <w:rFonts w:ascii="Arial" w:cs="Arial" w:eastAsia="Arial" w:hAnsi="Arial"/>
                <w:b/>
                <w:bCs/>
                <w:color w:val="E85D1E"/>
                <w:sz w:val="24"/>
                <w:szCs w:val="24"/>
              </w:rPr>
              <w:t xml:space="preserve">📄  Joint Case Studies</w:t>
            </w:r>
          </w:p>
          <w:p>
            <w:pPr>
              <w:spacing w:before="30" w:after="30"/>
            </w:pPr>
            <w:r>
              <w:rPr>
                <w:rFonts w:ascii="Arial" w:cs="Arial" w:eastAsia="Arial" w:hAnsi="Arial"/>
                <w:color w:val="1A1F2B"/>
                <w:sz w:val="20"/>
                <w:szCs w:val="20"/>
              </w:rPr>
              <w:t xml:space="preserve">The highest-converting piece of content you can produce with a partner.</w:t>
            </w:r>
          </w:p>
          <w:p>
            <w:pPr>
              <w:spacing w:before="30" w:after="30"/>
            </w:pPr>
            <w:r>
              <w:rPr>
                <w:rFonts w:ascii="Arial" w:cs="Arial" w:eastAsia="Arial" w:hAnsi="Arial"/>
                <w:b/>
                <w:bCs/>
                <w:color w:val="1A1F2B"/>
                <w:sz w:val="20"/>
                <w:szCs w:val="20"/>
              </w:rPr>
              <w:t xml:space="preserve">Format: </w:t>
            </w:r>
            <w:r>
              <w:rPr>
                <w:rFonts w:ascii="Arial" w:cs="Arial" w:eastAsia="Arial" w:hAnsi="Arial"/>
                <w:color w:val="1A1F2B"/>
                <w:sz w:val="20"/>
                <w:szCs w:val="20"/>
              </w:rPr>
              <w:t xml:space="preserve">A 1-page PDF co-branded with the partner agency. One real customer. Before/after. Buyer title, trigger event, what changed.</w:t>
            </w:r>
          </w:p>
          <w:p>
            <w:pPr>
              <w:spacing w:before="30" w:after="30"/>
            </w:pPr>
            <w:r>
              <w:rPr>
                <w:rFonts w:ascii="Arial" w:cs="Arial" w:eastAsia="Arial" w:hAnsi="Arial"/>
                <w:b/>
                <w:bCs/>
                <w:color w:val="1A1F2B"/>
                <w:sz w:val="20"/>
                <w:szCs w:val="20"/>
              </w:rPr>
              <w:t xml:space="preserve">Vertical targets: </w:t>
            </w:r>
            <w:r>
              <w:rPr>
                <w:rFonts w:ascii="Arial" w:cs="Arial" w:eastAsia="Arial" w:hAnsi="Arial"/>
                <w:color w:val="1A1F2B"/>
                <w:sz w:val="20"/>
                <w:szCs w:val="20"/>
              </w:rPr>
              <w:t xml:space="preserve">Kinder's (CPG, Barrel) · Nalgene (Sporting Goods, Netalico) · Lake Champlain Chocolates (Food &amp; Bev, any agency)</w:t>
            </w:r>
          </w:p>
          <w:p>
            <w:pPr>
              <w:spacing w:before="30" w:after="30"/>
            </w:pPr>
            <w:r>
              <w:rPr>
                <w:rFonts w:ascii="Arial" w:cs="Arial" w:eastAsia="Arial" w:hAnsi="Arial"/>
                <w:b/>
                <w:bCs/>
                <w:color w:val="1A1F2B"/>
                <w:sz w:val="20"/>
                <w:szCs w:val="20"/>
              </w:rPr>
              <w:t xml:space="preserve">Cadence: </w:t>
            </w:r>
            <w:r>
              <w:rPr>
                <w:rFonts w:ascii="Arial" w:cs="Arial" w:eastAsia="Arial" w:hAnsi="Arial"/>
                <w:color w:val="1A1F2B"/>
                <w:sz w:val="20"/>
                <w:szCs w:val="20"/>
              </w:rPr>
              <w:t xml:space="preserve">One per quarter. Make the partner a hero — their name goes first.</w:t>
            </w:r>
          </w:p>
          <w:p>
            <w:pPr>
              <w:spacing w:before="30" w:after="30"/>
            </w:pPr>
            <w:r>
              <w:rPr>
                <w:rFonts w:ascii="Arial" w:cs="Arial" w:eastAsia="Arial" w:hAnsi="Arial"/>
                <w:b/>
                <w:bCs/>
                <w:color w:val="1A1F2B"/>
                <w:sz w:val="20"/>
                <w:szCs w:val="20"/>
              </w:rPr>
              <w:t xml:space="preserve">Distribution: </w:t>
            </w:r>
            <w:r>
              <w:rPr>
                <w:rFonts w:ascii="Arial" w:cs="Arial" w:eastAsia="Arial" w:hAnsi="Arial"/>
                <w:color w:val="1A1F2B"/>
                <w:sz w:val="20"/>
                <w:szCs w:val="20"/>
              </w:rPr>
              <w:t xml:space="preserve">Partner sends to their entire client list. You put it on the Canto integration page. Both teams post on LinkedIn with a tag.</w:t>
            </w:r>
          </w:p>
        </w:tc>
      </w:tr>
    </w:tbl>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5CC" w:sz="1"/>
              <w:left w:val="single" w:color="E0D5CC" w:sz="1"/>
              <w:bottom w:val="single" w:color="E0D5CC" w:sz="1"/>
              <w:right w:val="single" w:color="E0D5CC" w:sz="1"/>
            </w:tcBorders>
            <w:shd w:fill="F5F0EB" w:val="clear"/>
            <w:tcMar>
              <w:top w:type="dxa" w:w="160"/>
              <w:left w:type="dxa" w:w="200"/>
              <w:bottom w:type="dxa" w:w="160"/>
              <w:right w:type="dxa" w:w="200"/>
            </w:tcMar>
          </w:tcPr>
          <w:p>
            <w:pPr>
              <w:spacing w:before="0" w:after="80"/>
            </w:pPr>
            <w:r>
              <w:rPr>
                <w:rFonts w:ascii="Arial" w:cs="Arial" w:eastAsia="Arial" w:hAnsi="Arial"/>
                <w:b/>
                <w:bCs/>
                <w:color w:val="0F7173"/>
                <w:sz w:val="24"/>
                <w:szCs w:val="24"/>
              </w:rPr>
              <w:t xml:space="preserve">🎙️  Partner-Led Webinars</w:t>
            </w:r>
          </w:p>
          <w:p>
            <w:pPr>
              <w:spacing w:before="30" w:after="30"/>
            </w:pPr>
            <w:r>
              <w:rPr>
                <w:rFonts w:ascii="Arial" w:cs="Arial" w:eastAsia="Arial" w:hAnsi="Arial"/>
                <w:color w:val="1A1F2B"/>
                <w:sz w:val="20"/>
                <w:szCs w:val="20"/>
              </w:rPr>
              <w:t xml:space="preserve">Partner is the host and speaker. You are the guest. Their brand brings the audience, Canto provides the case study and the platform.</w:t>
            </w:r>
          </w:p>
          <w:p>
            <w:pPr>
              <w:spacing w:before="30" w:after="30"/>
            </w:pPr>
            <w:r>
              <w:rPr>
                <w:rFonts w:ascii="Arial" w:cs="Arial" w:eastAsia="Arial" w:hAnsi="Arial"/>
                <w:b/>
                <w:bCs/>
                <w:color w:val="1A1F2B"/>
                <w:sz w:val="20"/>
                <w:szCs w:val="20"/>
              </w:rPr>
              <w:t xml:space="preserve">Format: </w:t>
            </w:r>
            <w:r>
              <w:rPr>
                <w:rFonts w:ascii="Arial" w:cs="Arial" w:eastAsia="Arial" w:hAnsi="Arial"/>
                <w:color w:val="1A1F2B"/>
                <w:sz w:val="20"/>
                <w:szCs w:val="20"/>
              </w:rPr>
              <w:t xml:space="preserve">45-minute webinar. Partner presents 'How to scale product content for CPG brands on Shopify.' You present 10-min case study (Kinder's or Nalgene). 15 min Q&amp;A.</w:t>
            </w:r>
          </w:p>
          <w:p>
            <w:pPr>
              <w:spacing w:before="30" w:after="30"/>
            </w:pPr>
            <w:r>
              <w:rPr>
                <w:rFonts w:ascii="Arial" w:cs="Arial" w:eastAsia="Arial" w:hAnsi="Arial"/>
                <w:b/>
                <w:bCs/>
                <w:color w:val="1A1F2B"/>
                <w:sz w:val="20"/>
                <w:szCs w:val="20"/>
              </w:rPr>
              <w:t xml:space="preserve">Audience target: </w:t>
            </w:r>
            <w:r>
              <w:rPr>
                <w:rFonts w:ascii="Arial" w:cs="Arial" w:eastAsia="Arial" w:hAnsi="Arial"/>
                <w:color w:val="1A1F2B"/>
                <w:sz w:val="20"/>
                <w:szCs w:val="20"/>
              </w:rPr>
              <w:t xml:space="preserve">Their client base + a co-promoted LinkedIn push.</w:t>
            </w:r>
          </w:p>
          <w:p>
            <w:pPr>
              <w:spacing w:before="30" w:after="30"/>
            </w:pPr>
            <w:r>
              <w:rPr>
                <w:rFonts w:ascii="Arial" w:cs="Arial" w:eastAsia="Arial" w:hAnsi="Arial"/>
                <w:b/>
                <w:bCs/>
                <w:color w:val="1A1F2B"/>
                <w:sz w:val="20"/>
                <w:szCs w:val="20"/>
              </w:rPr>
              <w:t xml:space="preserve">Cadence: </w:t>
            </w:r>
            <w:r>
              <w:rPr>
                <w:rFonts w:ascii="Arial" w:cs="Arial" w:eastAsia="Arial" w:hAnsi="Arial"/>
                <w:color w:val="1A1F2B"/>
                <w:sz w:val="20"/>
                <w:szCs w:val="20"/>
              </w:rPr>
              <w:t xml:space="preserve">One per quarter, per active partner. Barrel Q3. Netalico Q3. SI partner Q4.</w:t>
            </w:r>
          </w:p>
          <w:p>
            <w:pPr>
              <w:spacing w:before="30" w:after="30"/>
            </w:pPr>
            <w:r>
              <w:rPr>
                <w:rFonts w:ascii="Arial" w:cs="Arial" w:eastAsia="Arial" w:hAnsi="Arial"/>
                <w:b/>
                <w:bCs/>
                <w:color w:val="1A1F2B"/>
                <w:sz w:val="20"/>
                <w:szCs w:val="20"/>
              </w:rPr>
              <w:t xml:space="preserve">Conversion play: </w:t>
            </w:r>
            <w:r>
              <w:rPr>
                <w:rFonts w:ascii="Arial" w:cs="Arial" w:eastAsia="Arial" w:hAnsi="Arial"/>
                <w:color w:val="1A1F2B"/>
                <w:sz w:val="20"/>
                <w:szCs w:val="20"/>
              </w:rPr>
              <w:t xml:space="preserve">Everyone who attends and asks a question gets a personal 1:1 follow-up from the partner — not from Canto.</w:t>
            </w:r>
          </w:p>
        </w:tc>
      </w:tr>
    </w:tbl>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5CC" w:sz="1"/>
              <w:left w:val="single" w:color="E0D5CC" w:sz="1"/>
              <w:bottom w:val="single" w:color="E0D5CC" w:sz="1"/>
              <w:right w:val="single" w:color="E0D5CC" w:sz="1"/>
            </w:tcBorders>
            <w:shd w:fill="F0F4FF" w:val="clear"/>
            <w:tcMar>
              <w:top w:type="dxa" w:w="160"/>
              <w:left w:type="dxa" w:w="200"/>
              <w:bottom w:type="dxa" w:w="160"/>
              <w:right w:type="dxa" w:w="200"/>
            </w:tcMar>
          </w:tcPr>
          <w:p>
            <w:pPr>
              <w:spacing w:before="0" w:after="80"/>
            </w:pPr>
            <w:r>
              <w:rPr>
                <w:rFonts w:ascii="Arial" w:cs="Arial" w:eastAsia="Arial" w:hAnsi="Arial"/>
                <w:b/>
                <w:bCs/>
                <w:color w:val="1A56A4"/>
                <w:sz w:val="24"/>
                <w:szCs w:val="24"/>
              </w:rPr>
              <w:t xml:space="preserve">💬  LinkedIn Co-Content</w:t>
            </w:r>
          </w:p>
          <w:p>
            <w:pPr>
              <w:spacing w:before="30" w:after="30"/>
            </w:pPr>
            <w:r>
              <w:rPr>
                <w:rFonts w:ascii="Arial" w:cs="Arial" w:eastAsia="Arial" w:hAnsi="Arial"/>
                <w:color w:val="1A1F2B"/>
                <w:sz w:val="20"/>
                <w:szCs w:val="20"/>
              </w:rPr>
              <w:t xml:space="preserve">The ambient signal that you exist. Low cost, high reach, builds trust over time.</w:t>
            </w:r>
          </w:p>
          <w:p>
            <w:pPr>
              <w:spacing w:before="30" w:after="30"/>
            </w:pPr>
            <w:r>
              <w:rPr>
                <w:rFonts w:ascii="Arial" w:cs="Arial" w:eastAsia="Arial" w:hAnsi="Arial"/>
                <w:b/>
                <w:bCs/>
                <w:color w:val="1A1F2B"/>
                <w:sz w:val="20"/>
                <w:szCs w:val="20"/>
              </w:rPr>
              <w:t xml:space="preserve">Format 1: </w:t>
            </w:r>
            <w:r>
              <w:rPr>
                <w:rFonts w:ascii="Arial" w:cs="Arial" w:eastAsia="Arial" w:hAnsi="Arial"/>
                <w:color w:val="1A1F2B"/>
                <w:sz w:val="20"/>
                <w:szCs w:val="20"/>
              </w:rPr>
              <w:t xml:space="preserve">Partner posts a short LinkedIn case study about a client who solved asset chaos. Tags Canto. No direct pitch.</w:t>
            </w:r>
          </w:p>
          <w:p>
            <w:pPr>
              <w:spacing w:before="30" w:after="30"/>
            </w:pPr>
            <w:r>
              <w:rPr>
                <w:rFonts w:ascii="Arial" w:cs="Arial" w:eastAsia="Arial" w:hAnsi="Arial"/>
                <w:b/>
                <w:bCs/>
                <w:color w:val="1A1F2B"/>
                <w:sz w:val="20"/>
                <w:szCs w:val="20"/>
              </w:rPr>
              <w:t xml:space="preserve">Format 2: </w:t>
            </w:r>
            <w:r>
              <w:rPr>
                <w:rFonts w:ascii="Arial" w:cs="Arial" w:eastAsia="Arial" w:hAnsi="Arial"/>
                <w:color w:val="1A1F2B"/>
                <w:sz w:val="20"/>
                <w:szCs w:val="20"/>
              </w:rPr>
              <w:t xml:space="preserve">You post about a pattern you're seeing in CPG/fashion. Tags a specific partner as 'the team solving this on the commerce side.'</w:t>
            </w:r>
          </w:p>
          <w:p>
            <w:pPr>
              <w:spacing w:before="30" w:after="30"/>
            </w:pPr>
            <w:r>
              <w:rPr>
                <w:rFonts w:ascii="Arial" w:cs="Arial" w:eastAsia="Arial" w:hAnsi="Arial"/>
                <w:b/>
                <w:bCs/>
                <w:color w:val="1A1F2B"/>
                <w:sz w:val="20"/>
                <w:szCs w:val="20"/>
              </w:rPr>
              <w:t xml:space="preserve">Format 3: </w:t>
            </w:r>
            <w:r>
              <w:rPr>
                <w:rFonts w:ascii="Arial" w:cs="Arial" w:eastAsia="Arial" w:hAnsi="Arial"/>
                <w:color w:val="1A1F2B"/>
                <w:sz w:val="20"/>
                <w:szCs w:val="20"/>
              </w:rPr>
              <w:t xml:space="preserve">Quote card. One insight from your partner dinner conversation, stripped of attribution, framed as an industry observation.</w:t>
            </w:r>
          </w:p>
          <w:p>
            <w:pPr>
              <w:spacing w:before="30" w:after="30"/>
            </w:pPr>
            <w:r>
              <w:rPr>
                <w:rFonts w:ascii="Arial" w:cs="Arial" w:eastAsia="Arial" w:hAnsi="Arial"/>
                <w:b/>
                <w:bCs/>
                <w:color w:val="1A1F2B"/>
                <w:sz w:val="20"/>
                <w:szCs w:val="20"/>
              </w:rPr>
              <w:t xml:space="preserve">Cadence: </w:t>
            </w:r>
            <w:r>
              <w:rPr>
                <w:rFonts w:ascii="Arial" w:cs="Arial" w:eastAsia="Arial" w:hAnsi="Arial"/>
                <w:color w:val="1A1F2B"/>
                <w:sz w:val="20"/>
                <w:szCs w:val="20"/>
              </w:rPr>
              <w:t xml:space="preserve">2x per month minimum. One from you, one from a partner.</w:t>
            </w:r>
          </w:p>
        </w:tc>
      </w:tr>
    </w:tbl>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5CC" w:sz="1"/>
              <w:left w:val="single" w:color="E0D5CC" w:sz="1"/>
              <w:bottom w:val="single" w:color="E0D5CC" w:sz="1"/>
              <w:right w:val="single" w:color="E0D5CC" w:sz="1"/>
            </w:tcBorders>
            <w:shd w:fill="F0FAF0" w:val="clear"/>
            <w:tcMar>
              <w:top w:type="dxa" w:w="160"/>
              <w:left w:type="dxa" w:w="200"/>
              <w:bottom w:type="dxa" w:w="160"/>
              <w:right w:type="dxa" w:w="200"/>
            </w:tcMar>
          </w:tcPr>
          <w:p>
            <w:pPr>
              <w:spacing w:before="0" w:after="80"/>
            </w:pPr>
            <w:r>
              <w:rPr>
                <w:rFonts w:ascii="Arial" w:cs="Arial" w:eastAsia="Arial" w:hAnsi="Arial"/>
                <w:b/>
                <w:bCs/>
                <w:color w:val="166534"/>
                <w:sz w:val="24"/>
                <w:szCs w:val="24"/>
              </w:rPr>
              <w:t xml:space="preserve">🖥️  Vertical-Specific Landing Pages</w:t>
            </w:r>
          </w:p>
          <w:p>
            <w:pPr>
              <w:spacing w:before="30" w:after="30"/>
            </w:pPr>
            <w:r>
              <w:rPr>
                <w:rFonts w:ascii="Arial" w:cs="Arial" w:eastAsia="Arial" w:hAnsi="Arial"/>
                <w:color w:val="1A1F2B"/>
                <w:sz w:val="20"/>
                <w:szCs w:val="20"/>
              </w:rPr>
              <w:t xml:space="preserve">One page per ICP vertical, co-branded with your top agency partner in that vertical. Exists specifically to capture partner-referred traffic.</w:t>
            </w:r>
          </w:p>
          <w:p>
            <w:pPr>
              <w:spacing w:before="30" w:after="30"/>
            </w:pPr>
            <w:r>
              <w:rPr>
                <w:rFonts w:ascii="Arial" w:cs="Arial" w:eastAsia="Arial" w:hAnsi="Arial"/>
                <w:b/>
                <w:bCs/>
                <w:color w:val="1A1F2B"/>
                <w:sz w:val="20"/>
                <w:szCs w:val="20"/>
              </w:rPr>
              <w:t xml:space="preserve">CPG: </w:t>
            </w:r>
            <w:r>
              <w:rPr>
                <w:rFonts w:ascii="Arial" w:cs="Arial" w:eastAsia="Arial" w:hAnsi="Arial"/>
                <w:color w:val="1A1F2B"/>
                <w:sz w:val="20"/>
                <w:szCs w:val="20"/>
              </w:rPr>
              <w:t xml:space="preserve">Canto + Barrel. 'How CPG brands on Shopify manage 500+ SKUs.'</w:t>
            </w:r>
          </w:p>
          <w:p>
            <w:pPr>
              <w:spacing w:before="30" w:after="30"/>
            </w:pPr>
            <w:r>
              <w:rPr>
                <w:rFonts w:ascii="Arial" w:cs="Arial" w:eastAsia="Arial" w:hAnsi="Arial"/>
                <w:b/>
                <w:bCs/>
                <w:color w:val="1A1F2B"/>
                <w:sz w:val="20"/>
                <w:szCs w:val="20"/>
              </w:rPr>
              <w:t xml:space="preserve">Fashion: </w:t>
            </w:r>
            <w:r>
              <w:rPr>
                <w:rFonts w:ascii="Arial" w:cs="Arial" w:eastAsia="Arial" w:hAnsi="Arial"/>
                <w:color w:val="1A1F2B"/>
                <w:sz w:val="20"/>
                <w:szCs w:val="20"/>
              </w:rPr>
              <w:t xml:space="preserve">Canto + Avex. 'Asset governance for fashion brands with complex colorway libraries.'</w:t>
            </w:r>
          </w:p>
          <w:p>
            <w:pPr>
              <w:spacing w:before="30" w:after="30"/>
            </w:pPr>
            <w:r>
              <w:rPr>
                <w:rFonts w:ascii="Arial" w:cs="Arial" w:eastAsia="Arial" w:hAnsi="Arial"/>
                <w:b/>
                <w:bCs/>
                <w:color w:val="1A1F2B"/>
                <w:sz w:val="20"/>
                <w:szCs w:val="20"/>
              </w:rPr>
              <w:t xml:space="preserve">Food &amp; Bev: </w:t>
            </w:r>
            <w:r>
              <w:rPr>
                <w:rFonts w:ascii="Arial" w:cs="Arial" w:eastAsia="Arial" w:hAnsi="Arial"/>
                <w:color w:val="1A1F2B"/>
                <w:sz w:val="20"/>
                <w:szCs w:val="20"/>
              </w:rPr>
              <w:t xml:space="preserve">Canto + Netalico. 'From FTP chaos to retailer-ready product content.'</w:t>
            </w:r>
          </w:p>
          <w:p>
            <w:pPr>
              <w:spacing w:before="30" w:after="30"/>
            </w:pPr>
            <w:r>
              <w:rPr>
                <w:rFonts w:ascii="Arial" w:cs="Arial" w:eastAsia="Arial" w:hAnsi="Arial"/>
                <w:b/>
                <w:bCs/>
                <w:color w:val="1A1F2B"/>
                <w:sz w:val="20"/>
                <w:szCs w:val="20"/>
              </w:rPr>
              <w:t xml:space="preserve">Each page: </w:t>
            </w:r>
            <w:r>
              <w:rPr>
                <w:rFonts w:ascii="Arial" w:cs="Arial" w:eastAsia="Arial" w:hAnsi="Arial"/>
                <w:color w:val="1A1F2B"/>
                <w:sz w:val="20"/>
                <w:szCs w:val="20"/>
              </w:rPr>
              <w:t xml:space="preserve">1 customer quote, 1 case study link, 1 call to action ('Talk to our team'), deal registration for the partner.</w:t>
            </w:r>
          </w:p>
          <w:p>
            <w:pPr>
              <w:spacing w:before="30" w:after="30"/>
            </w:pPr>
            <w:r>
              <w:rPr>
                <w:rFonts w:ascii="Arial" w:cs="Arial" w:eastAsia="Arial" w:hAnsi="Arial"/>
                <w:b/>
                <w:bCs/>
                <w:color w:val="1A1F2B"/>
                <w:sz w:val="20"/>
                <w:szCs w:val="20"/>
              </w:rPr>
              <w:t xml:space="preserve">Build priority: </w:t>
            </w:r>
            <w:r>
              <w:rPr>
                <w:rFonts w:ascii="Arial" w:cs="Arial" w:eastAsia="Arial" w:hAnsi="Arial"/>
                <w:color w:val="1A1F2B"/>
                <w:sz w:val="20"/>
                <w:szCs w:val="20"/>
              </w:rPr>
              <w:t xml:space="preserve">CPG first (highest customer density). Fashion second.</w:t>
            </w:r>
          </w:p>
        </w:tc>
      </w:tr>
    </w:tbl>
    <w:p>
      <w:pPr>
        <w:spacing w:before="0" w:after="16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Budget Framework</w:t>
      </w:r>
    </w:p>
    <w:p>
      <w:pPr>
        <w:spacing w:before="60" w:after="60"/>
      </w:pPr>
      <w:r>
        <w:rPr>
          <w:rFonts w:ascii="Arial" w:cs="Arial" w:eastAsia="Arial" w:hAnsi="Arial"/>
          <w:color w:val="1A1F2B"/>
          <w:sz w:val="22"/>
          <w:szCs w:val="22"/>
        </w:rPr>
        <w:t xml:space="preserve">This plan can be executed at different investment levels. Estimates below are honest ranges — not padded, not optimistic.</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Line Item</w:t>
            </w:r>
          </w:p>
        </w:tc>
        <w:tc>
          <w:tcPr>
            <w:tcW w:type="dxa" w:w="160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Est. Cost</w:t>
            </w:r>
          </w:p>
        </w:tc>
        <w:tc>
          <w:tcPr>
            <w:tcW w:type="dxa" w:w="4960"/>
            <w:tcBorders>
              <w:top w:val="single" w:color="E85D1E" w:sz="1"/>
              <w:left w:val="single" w:color="E85D1E" w:sz="1"/>
              <w:bottom w:val="single" w:color="E85D1E" w:sz="1"/>
              <w:right w:val="single" w:color="E85D1E" w:sz="1"/>
            </w:tcBorders>
            <w:shd w:fill="E85D1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8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Salsify DSS Partner Dinner (Atlanta)</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$2,500–3,500</w:t>
            </w:r>
          </w:p>
        </w:tc>
        <w:tc>
          <w:tcPr>
            <w:tcW w:type="dxa" w:w="49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8–10 guests, private room, mid-range restaurant</w:t>
            </w:r>
          </w:p>
        </w:tc>
      </w:tr>
      <w:tr>
        <w:tc>
          <w:tcPr>
            <w:tcW w:type="dxa" w:w="28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Summer Fancy Food Show (NYC)</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$800–1,200</w:t>
            </w:r>
          </w:p>
        </w:tc>
        <w:tc>
          <w:tcPr>
            <w:tcW w:type="dxa" w:w="49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Travel + tickets; no exhibit costs</w:t>
            </w:r>
          </w:p>
        </w:tc>
      </w:tr>
      <w:tr>
        <w:tc>
          <w:tcPr>
            <w:tcW w:type="dxa" w:w="28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Post-Fancy Food Show Dinner (NYC)</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$2,000–3,000</w:t>
            </w:r>
          </w:p>
        </w:tc>
        <w:tc>
          <w:tcPr>
            <w:tcW w:type="dxa" w:w="49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8 guests, NYC pricing</w:t>
            </w:r>
          </w:p>
        </w:tc>
      </w:tr>
      <w:tr>
        <w:tc>
          <w:tcPr>
            <w:tcW w:type="dxa" w:w="28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Shopify dot.dev (Toronto)</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$1,500–2,500</w:t>
            </w:r>
          </w:p>
        </w:tc>
        <w:tc>
          <w:tcPr>
            <w:tcW w:type="dxa" w:w="49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Travel + accommodation + side dinner</w:t>
            </w:r>
          </w:p>
        </w:tc>
      </w:tr>
      <w:tr>
        <w:tc>
          <w:tcPr>
            <w:tcW w:type="dxa" w:w="28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Partner dinner Toronto</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$2,000–2,500</w:t>
            </w:r>
          </w:p>
        </w:tc>
        <w:tc>
          <w:tcPr>
            <w:tcW w:type="dxa" w:w="49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8–10 guests, evening of July 21</w:t>
            </w:r>
          </w:p>
        </w:tc>
      </w:tr>
      <w:tr>
        <w:tc>
          <w:tcPr>
            <w:tcW w:type="dxa" w:w="28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Henry Stewart DAM NYC (Oct)</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$4,000–8,000</w:t>
            </w:r>
          </w:p>
        </w:tc>
        <w:tc>
          <w:tcPr>
            <w:tcW w:type="dxa" w:w="49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Sponsorship with speaking slot recommended</w:t>
            </w:r>
          </w:p>
        </w:tc>
      </w:tr>
      <w:tr>
        <w:tc>
          <w:tcPr>
            <w:tcW w:type="dxa" w:w="28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DAM NYC Partner/Consultant Dinner</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$2,500–3,500</w:t>
            </w:r>
          </w:p>
        </w:tc>
        <w:tc>
          <w:tcPr>
            <w:tcW w:type="dxa" w:w="49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6–8 consultants + active partners</w:t>
            </w:r>
          </w:p>
        </w:tc>
      </w:tr>
      <w:tr>
        <w:tc>
          <w:tcPr>
            <w:tcW w:type="dxa" w:w="28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Year-End Partner Dinner (Q4)</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$3,000–4,500</w:t>
            </w:r>
          </w:p>
        </w:tc>
        <w:tc>
          <w:tcPr>
            <w:tcW w:type="dxa" w:w="49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Closed-door, celebration format</w:t>
            </w:r>
          </w:p>
        </w:tc>
      </w:tr>
      <w:tr>
        <w:tc>
          <w:tcPr>
            <w:tcW w:type="dxa" w:w="28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MAGIC Las Vegas (Apr + Aug)</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$1,200–1,800 ea.</w:t>
            </w:r>
          </w:p>
        </w:tc>
        <w:tc>
          <w:tcPr>
            <w:tcW w:type="dxa" w:w="49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Tickets + travel; no booth</w:t>
            </w:r>
          </w:p>
        </w:tc>
      </w:tr>
      <w:tr>
        <w:tc>
          <w:tcPr>
            <w:tcW w:type="dxa" w:w="28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Co-marketing content production</w:t>
            </w:r>
          </w:p>
        </w:tc>
        <w:tc>
          <w:tcPr>
            <w:tcW w:type="dxa" w:w="160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$2,000–4,000</w:t>
            </w:r>
          </w:p>
        </w:tc>
        <w:tc>
          <w:tcPr>
            <w:tcW w:type="dxa" w:w="4960"/>
            <w:tcBorders>
              <w:top w:val="single" w:color="E0D5CC" w:sz="1"/>
              <w:left w:val="single" w:color="E0D5CC" w:sz="1"/>
              <w:bottom w:val="single" w:color="E0D5CC" w:sz="1"/>
              <w:right w:val="single" w:color="E0D5CC" w:sz="1"/>
            </w:tcBorders>
            <w:shd w:fill="FBF7F4"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Case study design, landing pages, webinar production</w:t>
            </w:r>
          </w:p>
        </w:tc>
      </w:tr>
      <w:tr>
        <w:tc>
          <w:tcPr>
            <w:tcW w:type="dxa" w:w="28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Contingency / opportunistic</w:t>
            </w:r>
          </w:p>
        </w:tc>
        <w:tc>
          <w:tcPr>
            <w:tcW w:type="dxa" w:w="160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bCs/>
                <w:color w:val="E85D1E"/>
                <w:sz w:val="19"/>
                <w:szCs w:val="19"/>
              </w:rPr>
              <w:t xml:space="preserve">$3,000–5,000</w:t>
            </w:r>
          </w:p>
        </w:tc>
        <w:tc>
          <w:tcPr>
            <w:tcW w:type="dxa" w:w="4960"/>
            <w:tcBorders>
              <w:top w:val="single" w:color="E0D5CC" w:sz="1"/>
              <w:left w:val="single" w:color="E0D5CC" w:sz="1"/>
              <w:bottom w:val="single" w:color="E0D5CC" w:sz="1"/>
              <w:right w:val="single" w:color="E0D5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F2B"/>
                <w:sz w:val="19"/>
                <w:szCs w:val="19"/>
              </w:rPr>
              <w:t xml:space="preserve">Last-minute events, partner co-investment asks</w:t>
            </w:r>
          </w:p>
        </w:tc>
      </w:tr>
      <w:tr>
        <w:tc>
          <w:tcPr>
            <w:tcW w:type="dxa" w:w="2800"/>
            <w:tcBorders>
              <w:top w:val="single" w:color="E85D1E" w:sz="1"/>
              <w:left w:val="single" w:color="E85D1E" w:sz="1"/>
              <w:bottom w:val="single" w:color="E85D1E" w:sz="1"/>
              <w:right w:val="single" w:color="E85D1E" w:sz="1"/>
            </w:tcBorders>
            <w:shd w:fill="1A1F2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TOTAL RANGE</w:t>
            </w:r>
          </w:p>
        </w:tc>
        <w:tc>
          <w:tcPr>
            <w:tcW w:type="dxa" w:w="1600"/>
            <w:tcBorders>
              <w:top w:val="single" w:color="E85D1E" w:sz="1"/>
              <w:left w:val="single" w:color="E85D1E" w:sz="1"/>
              <w:bottom w:val="single" w:color="E85D1E" w:sz="1"/>
              <w:right w:val="single" w:color="E85D1E" w:sz="1"/>
            </w:tcBorders>
            <w:shd w:fill="1A1F2B" w:val="clear"/>
            <w:tcMar>
              <w:top w:type="dxa" w:w="80"/>
              <w:left w:type="dxa" w:w="120"/>
              <w:bottom w:type="dxa" w:w="80"/>
              <w:right w:type="dxa" w:w="120"/>
            </w:tcMar>
          </w:tcPr>
          <w:p>
            <w:pPr>
              <w:spacing w:before="0" w:after="0"/>
            </w:pPr>
            <w:r>
              <w:rPr>
                <w:rFonts w:ascii="Arial" w:cs="Arial" w:eastAsia="Arial" w:hAnsi="Arial"/>
                <w:b/>
                <w:bCs/>
                <w:color w:val="E85D1E"/>
                <w:sz w:val="20"/>
                <w:szCs w:val="20"/>
              </w:rPr>
              <w:t xml:space="preserve">$28,000–43,000</w:t>
            </w:r>
          </w:p>
        </w:tc>
        <w:tc>
          <w:tcPr>
            <w:tcW w:type="dxa" w:w="4960"/>
            <w:tcBorders>
              <w:top w:val="single" w:color="E85D1E" w:sz="1"/>
              <w:left w:val="single" w:color="E85D1E" w:sz="1"/>
              <w:bottom w:val="single" w:color="E85D1E" w:sz="1"/>
              <w:right w:val="single" w:color="E85D1E" w:sz="1"/>
            </w:tcBorders>
            <w:shd w:fill="1A1F2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 8 events + co-marketing through Dec 2026</w:t>
            </w:r>
          </w:p>
        </w:tc>
      </w:tr>
    </w:tbl>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ROI frame:  </w:t>
            </w:r>
            <w:r>
              <w:rPr>
                <w:rFonts w:ascii="Arial" w:cs="Arial" w:eastAsia="Arial" w:hAnsi="Arial"/>
                <w:color w:val="1A1F2B"/>
                <w:sz w:val="20"/>
                <w:szCs w:val="20"/>
              </w:rPr>
              <w:t xml:space="preserve">At $30K ACV and 15% referral commission, each partner-sourced deal costs Canto $4,500 in partner fees. A $40K event/marketing budget that sources 8 deals generates $240K in revenue and $36K in partner fees — net revenue yield of $204K against $76K in total partner costs. That math works.</w:t>
            </w:r>
          </w:p>
        </w:tc>
      </w:tr>
    </w:tbl>
    <w:p>
      <w:pPr>
        <w:spacing w:before="0" w:after="16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How to Measure It</w:t>
      </w:r>
    </w:p>
    <w:p>
      <w:pPr>
        <w:spacing w:before="60" w:after="60"/>
      </w:pPr>
      <w:r>
        <w:rPr>
          <w:rFonts w:ascii="Arial" w:cs="Arial" w:eastAsia="Arial" w:hAnsi="Arial"/>
          <w:color w:val="1A1F2B"/>
          <w:sz w:val="22"/>
          <w:szCs w:val="22"/>
        </w:rPr>
        <w:t xml:space="preserve">Partner marketing is notoriously hard to attribute. Here is what actually matters and what to track weekly.</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Lead Metrics (Weekly)</w:t>
      </w:r>
    </w:p>
    <w:p>
      <w:pPr>
        <w:pStyle w:val="ListParagraph"/>
        <w:numPr>
          <w:ilvl w:val="0"/>
          <w:numId w:val="2"/>
        </w:numPr>
        <w:spacing w:before="40" w:after="40"/>
      </w:pPr>
      <w:r>
        <w:rPr>
          <w:rFonts w:ascii="Arial" w:cs="Arial" w:eastAsia="Arial" w:hAnsi="Arial"/>
          <w:color w:val="1A1F2B"/>
          <w:sz w:val="22"/>
          <w:szCs w:val="22"/>
        </w:rPr>
        <w:t xml:space="preserve">Number of active partner conversations (currently in 'In conversation' or better in the partner tool)</w:t>
      </w:r>
    </w:p>
    <w:p>
      <w:pPr>
        <w:pStyle w:val="ListParagraph"/>
        <w:numPr>
          <w:ilvl w:val="0"/>
          <w:numId w:val="2"/>
        </w:numPr>
        <w:spacing w:before="40" w:after="40"/>
      </w:pPr>
      <w:r>
        <w:rPr>
          <w:rFonts w:ascii="Arial" w:cs="Arial" w:eastAsia="Arial" w:hAnsi="Arial"/>
          <w:color w:val="1A1F2B"/>
          <w:sz w:val="22"/>
          <w:szCs w:val="22"/>
        </w:rPr>
        <w:t xml:space="preserve">Number of deal registrations received in the quarter</w:t>
      </w:r>
    </w:p>
    <w:p>
      <w:pPr>
        <w:pStyle w:val="ListParagraph"/>
        <w:numPr>
          <w:ilvl w:val="0"/>
          <w:numId w:val="2"/>
        </w:numPr>
        <w:spacing w:before="40" w:after="40"/>
      </w:pPr>
      <w:r>
        <w:rPr>
          <w:rFonts w:ascii="Arial" w:cs="Arial" w:eastAsia="Arial" w:hAnsi="Arial"/>
          <w:color w:val="1A1F2B"/>
          <w:sz w:val="22"/>
          <w:szCs w:val="22"/>
        </w:rPr>
        <w:t xml:space="preserve">Number of co-sell calls booked (partner + Canto on a live prospect)</w:t>
      </w:r>
    </w:p>
    <w:p>
      <w:pPr>
        <w:pStyle w:val="ListParagraph"/>
        <w:numPr>
          <w:ilvl w:val="0"/>
          <w:numId w:val="2"/>
        </w:numPr>
        <w:spacing w:before="40" w:after="40"/>
      </w:pPr>
      <w:r>
        <w:rPr>
          <w:rFonts w:ascii="Arial" w:cs="Arial" w:eastAsia="Arial" w:hAnsi="Arial"/>
          <w:color w:val="1A1F2B"/>
          <w:sz w:val="22"/>
          <w:szCs w:val="22"/>
        </w:rPr>
        <w:t xml:space="preserve">Pipeline sourced: total ACV of deals where a partner was the origin</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Lagging Metrics (Monthly)</w:t>
      </w:r>
    </w:p>
    <w:p>
      <w:pPr>
        <w:pStyle w:val="ListParagraph"/>
        <w:numPr>
          <w:ilvl w:val="0"/>
          <w:numId w:val="2"/>
        </w:numPr>
        <w:spacing w:before="40" w:after="40"/>
      </w:pPr>
      <w:r>
        <w:rPr>
          <w:rFonts w:ascii="Arial" w:cs="Arial" w:eastAsia="Arial" w:hAnsi="Arial"/>
          <w:color w:val="1A1F2B"/>
          <w:sz w:val="22"/>
          <w:szCs w:val="22"/>
        </w:rPr>
        <w:t xml:space="preserve">Partner-sourced closed revenue vs. target ($250K)</w:t>
      </w:r>
    </w:p>
    <w:p>
      <w:pPr>
        <w:pStyle w:val="ListParagraph"/>
        <w:numPr>
          <w:ilvl w:val="0"/>
          <w:numId w:val="2"/>
        </w:numPr>
        <w:spacing w:before="40" w:after="40"/>
      </w:pPr>
      <w:r>
        <w:rPr>
          <w:rFonts w:ascii="Arial" w:cs="Arial" w:eastAsia="Arial" w:hAnsi="Arial"/>
          <w:color w:val="1A1F2B"/>
          <w:sz w:val="22"/>
          <w:szCs w:val="22"/>
        </w:rPr>
        <w:t xml:space="preserve">Partner-sourced win rate vs. direct-sourced win rate</w:t>
      </w:r>
    </w:p>
    <w:p>
      <w:pPr>
        <w:pStyle w:val="ListParagraph"/>
        <w:numPr>
          <w:ilvl w:val="0"/>
          <w:numId w:val="2"/>
        </w:numPr>
        <w:spacing w:before="40" w:after="40"/>
      </w:pPr>
      <w:r>
        <w:rPr>
          <w:rFonts w:ascii="Arial" w:cs="Arial" w:eastAsia="Arial" w:hAnsi="Arial"/>
          <w:color w:val="1A1F2B"/>
          <w:sz w:val="22"/>
          <w:szCs w:val="22"/>
        </w:rPr>
        <w:t xml:space="preserve">Number of partners who have sent at least 1 deal in the quarter</w:t>
      </w:r>
    </w:p>
    <w:p>
      <w:pPr>
        <w:pStyle w:val="ListParagraph"/>
        <w:numPr>
          <w:ilvl w:val="0"/>
          <w:numId w:val="2"/>
        </w:numPr>
        <w:spacing w:before="40" w:after="40"/>
      </w:pPr>
      <w:r>
        <w:rPr>
          <w:rFonts w:ascii="Arial" w:cs="Arial" w:eastAsia="Arial" w:hAnsi="Arial"/>
          <w:color w:val="1A1F2B"/>
          <w:sz w:val="22"/>
          <w:szCs w:val="22"/>
        </w:rPr>
        <w:t xml:space="preserve">Average time from partner activation to first referral</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Event-Specific Metrics</w:t>
      </w:r>
    </w:p>
    <w:p>
      <w:pPr>
        <w:pStyle w:val="ListParagraph"/>
        <w:numPr>
          <w:ilvl w:val="0"/>
          <w:numId w:val="2"/>
        </w:numPr>
        <w:spacing w:before="40" w:after="40"/>
      </w:pPr>
      <w:r>
        <w:rPr>
          <w:rFonts w:ascii="Arial" w:cs="Arial" w:eastAsia="Arial" w:hAnsi="Arial"/>
          <w:color w:val="1A1F2B"/>
          <w:sz w:val="22"/>
          <w:szCs w:val="22"/>
        </w:rPr>
        <w:t xml:space="preserve">Dinners: number of follow-up conversations requested the next day (set a target of 60% of guests)</w:t>
      </w:r>
    </w:p>
    <w:p>
      <w:pPr>
        <w:pStyle w:val="ListParagraph"/>
        <w:numPr>
          <w:ilvl w:val="0"/>
          <w:numId w:val="2"/>
        </w:numPr>
        <w:spacing w:before="40" w:after="40"/>
      </w:pPr>
      <w:r>
        <w:rPr>
          <w:rFonts w:ascii="Arial" w:cs="Arial" w:eastAsia="Arial" w:hAnsi="Arial"/>
          <w:color w:val="1A1F2B"/>
          <w:sz w:val="22"/>
          <w:szCs w:val="22"/>
        </w:rPr>
        <w:t xml:space="preserve">Roundtables: number of brand attendees who request a Canto intro within 2 weeks</w:t>
      </w:r>
    </w:p>
    <w:p>
      <w:pPr>
        <w:pStyle w:val="ListParagraph"/>
        <w:numPr>
          <w:ilvl w:val="0"/>
          <w:numId w:val="2"/>
        </w:numPr>
        <w:spacing w:before="40" w:after="40"/>
      </w:pPr>
      <w:r>
        <w:rPr>
          <w:rFonts w:ascii="Arial" w:cs="Arial" w:eastAsia="Arial" w:hAnsi="Arial"/>
          <w:color w:val="1A1F2B"/>
          <w:sz w:val="22"/>
          <w:szCs w:val="22"/>
        </w:rPr>
        <w:t xml:space="preserve">DAM NYC: number of independent consultants added to the partner pipeline from the event</w:t>
      </w:r>
    </w:p>
    <w:p>
      <w:pPr>
        <w:spacing w:before="0" w:after="8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1"/>
              <w:left w:val="single" w:color="E85D1E" w:sz="16"/>
              <w:bottom w:val="single" w:color="E85D1E" w:sz="1"/>
              <w:right w:val="single" w:color="E0D5CC" w:sz="1"/>
            </w:tcBorders>
            <w:shd w:fill="FDF4EE" w:val="clear"/>
            <w:tcMar>
              <w:top w:type="dxa" w:w="140"/>
              <w:left w:type="dxa" w:w="200"/>
              <w:bottom w:type="dxa" w:w="140"/>
              <w:right w:type="dxa" w:w="160"/>
            </w:tcMar>
          </w:tcPr>
          <w:p>
            <w:pPr>
              <w:spacing w:before="0" w:after="0"/>
            </w:pPr>
            <w:r>
              <w:rPr>
                <w:rFonts w:ascii="Arial" w:cs="Arial" w:eastAsia="Arial" w:hAnsi="Arial"/>
                <w:b/>
                <w:bCs/>
                <w:color w:val="E85D1E"/>
                <w:sz w:val="20"/>
                <w:szCs w:val="20"/>
              </w:rPr>
              <w:t xml:space="preserve">One honest note:  </w:t>
            </w:r>
            <w:r>
              <w:rPr>
                <w:rFonts w:ascii="Arial" w:cs="Arial" w:eastAsia="Arial" w:hAnsi="Arial"/>
                <w:color w:val="1A1F2B"/>
                <w:sz w:val="20"/>
                <w:szCs w:val="20"/>
              </w:rPr>
              <w:t xml:space="preserve">If 3 partners are active and sending deals, you don't need 13 partners. The partner tool is for tracking who to recruit. The events plan is for deepening the 4–5 who will actually move the number. Don't spread yourself across every event on this list — go deep on the ones that put you in the room with your actual buyers.</w:t>
            </w:r>
          </w:p>
        </w:tc>
      </w:tr>
    </w:tbl>
    <w:p>
      <w:pPr>
        <w:spacing w:before="0" w:after="160"/>
      </w:pPr>
      <w:r>
        <w:rPr>
          <w:rFonts w:ascii="Arial" w:cs="Arial" w:eastAsia="Arial" w:hAnsi="Arial"/>
          <w:color w:val="1A1F2B"/>
          <w:sz w:val="22"/>
          <w:szCs w:val="22"/>
        </w:rPr>
        <w:t xml:space="preserve"/>
      </w:r>
    </w:p>
    <w:p>
      <w:pPr>
        <w:pStyle w:val="Heading1"/>
        <w:pBdr>
          <w:bottom w:val="single" w:color="E85D1E" w:sz="4" w:space="6"/>
        </w:pBdr>
        <w:spacing w:before="400" w:after="160"/>
      </w:pPr>
      <w:r>
        <w:rPr>
          <w:rFonts w:ascii="Arial" w:cs="Arial" w:eastAsia="Arial" w:hAnsi="Arial"/>
          <w:b/>
          <w:bCs/>
          <w:color w:val="E85D1E"/>
          <w:sz w:val="36"/>
          <w:szCs w:val="36"/>
        </w:rPr>
        <w:t xml:space="preserve">Quarter-by-Quarter Focus</w:t>
      </w:r>
    </w:p>
    <w:p>
      <w:pPr>
        <w:spacing w:before="0" w:after="6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Q2 (Now – June): Build the Foundation</w:t>
      </w:r>
    </w:p>
    <w:p>
      <w:pPr>
        <w:pStyle w:val="ListParagraph"/>
        <w:numPr>
          <w:ilvl w:val="0"/>
          <w:numId w:val="2"/>
        </w:numPr>
        <w:spacing w:before="40" w:after="40"/>
      </w:pPr>
      <w:r>
        <w:rPr>
          <w:rFonts w:ascii="Arial" w:cs="Arial" w:eastAsia="Arial" w:hAnsi="Arial"/>
          <w:color w:val="1A1F2B"/>
          <w:sz w:val="22"/>
          <w:szCs w:val="22"/>
        </w:rPr>
        <w:t xml:space="preserve">Complete outreach sequences for Sitation, Gournay, Barrel, Netalico, Avex — all 5 in motion simultaneously</w:t>
      </w:r>
    </w:p>
    <w:p>
      <w:pPr>
        <w:pStyle w:val="ListParagraph"/>
        <w:numPr>
          <w:ilvl w:val="0"/>
          <w:numId w:val="2"/>
        </w:numPr>
        <w:spacing w:before="40" w:after="40"/>
      </w:pPr>
      <w:r>
        <w:rPr>
          <w:rFonts w:ascii="Arial" w:cs="Arial" w:eastAsia="Arial" w:hAnsi="Arial"/>
          <w:color w:val="1A1F2B"/>
          <w:sz w:val="22"/>
          <w:szCs w:val="22"/>
        </w:rPr>
        <w:t xml:space="preserve">Attend Salsify Digital Shelf Summit with SI partner contacts; host dinner night 2</w:t>
      </w:r>
    </w:p>
    <w:p>
      <w:pPr>
        <w:pStyle w:val="ListParagraph"/>
        <w:numPr>
          <w:ilvl w:val="0"/>
          <w:numId w:val="2"/>
        </w:numPr>
        <w:spacing w:before="40" w:after="40"/>
      </w:pPr>
      <w:r>
        <w:rPr>
          <w:rFonts w:ascii="Arial" w:cs="Arial" w:eastAsia="Arial" w:hAnsi="Arial"/>
          <w:color w:val="1A1F2B"/>
          <w:sz w:val="22"/>
          <w:szCs w:val="22"/>
        </w:rPr>
        <w:t xml:space="preserve">Attend Summer Fancy Food Show with Barrel and/or Netalico; host post-show dinner</w:t>
      </w:r>
    </w:p>
    <w:p>
      <w:pPr>
        <w:pStyle w:val="ListParagraph"/>
        <w:numPr>
          <w:ilvl w:val="0"/>
          <w:numId w:val="2"/>
        </w:numPr>
        <w:spacing w:before="40" w:after="40"/>
      </w:pPr>
      <w:r>
        <w:rPr>
          <w:rFonts w:ascii="Arial" w:cs="Arial" w:eastAsia="Arial" w:hAnsi="Arial"/>
          <w:color w:val="1A1F2B"/>
          <w:sz w:val="22"/>
          <w:szCs w:val="22"/>
        </w:rPr>
        <w:t xml:space="preserve">Produce first joint case study (Kinder's CPG profile, co-branded with lead agency partner)</w:t>
      </w:r>
    </w:p>
    <w:p>
      <w:pPr>
        <w:pStyle w:val="ListParagraph"/>
        <w:numPr>
          <w:ilvl w:val="0"/>
          <w:numId w:val="2"/>
        </w:numPr>
        <w:spacing w:before="40" w:after="40"/>
      </w:pPr>
      <w:r>
        <w:rPr>
          <w:rFonts w:ascii="Arial" w:cs="Arial" w:eastAsia="Arial" w:hAnsi="Arial"/>
          <w:color w:val="1A1F2B"/>
          <w:sz w:val="22"/>
          <w:szCs w:val="22"/>
        </w:rPr>
        <w:t xml:space="preserve">Target: $60–70K partner-sourced pipeline in the system</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Q3 (July – September): Activate</w:t>
      </w:r>
    </w:p>
    <w:p>
      <w:pPr>
        <w:pStyle w:val="ListParagraph"/>
        <w:numPr>
          <w:ilvl w:val="0"/>
          <w:numId w:val="2"/>
        </w:numPr>
        <w:spacing w:before="40" w:after="40"/>
      </w:pPr>
      <w:r>
        <w:rPr>
          <w:rFonts w:ascii="Arial" w:cs="Arial" w:eastAsia="Arial" w:hAnsi="Arial"/>
          <w:color w:val="1A1F2B"/>
          <w:sz w:val="22"/>
          <w:szCs w:val="22"/>
        </w:rPr>
        <w:t xml:space="preserve">Attend Shopify dot.dev Toronto with agency partners; host agency + client dinner July 21</w:t>
      </w:r>
    </w:p>
    <w:p>
      <w:pPr>
        <w:pStyle w:val="ListParagraph"/>
        <w:numPr>
          <w:ilvl w:val="0"/>
          <w:numId w:val="2"/>
        </w:numPr>
        <w:spacing w:before="40" w:after="40"/>
      </w:pPr>
      <w:r>
        <w:rPr>
          <w:rFonts w:ascii="Arial" w:cs="Arial" w:eastAsia="Arial" w:hAnsi="Arial"/>
          <w:color w:val="1A1F2B"/>
          <w:sz w:val="22"/>
          <w:szCs w:val="22"/>
        </w:rPr>
        <w:t xml:space="preserve">Run first vertical roundtable — CPG, NYC, co-hosted with Barrel or Netalico</w:t>
      </w:r>
    </w:p>
    <w:p>
      <w:pPr>
        <w:pStyle w:val="ListParagraph"/>
        <w:numPr>
          <w:ilvl w:val="0"/>
          <w:numId w:val="2"/>
        </w:numPr>
        <w:spacing w:before="40" w:after="40"/>
      </w:pPr>
      <w:r>
        <w:rPr>
          <w:rFonts w:ascii="Arial" w:cs="Arial" w:eastAsia="Arial" w:hAnsi="Arial"/>
          <w:color w:val="1A1F2B"/>
          <w:sz w:val="22"/>
          <w:szCs w:val="22"/>
        </w:rPr>
        <w:t xml:space="preserve">First co-sell calls: partner joins a live Canto demo with their client</w:t>
      </w:r>
    </w:p>
    <w:p>
      <w:pPr>
        <w:pStyle w:val="ListParagraph"/>
        <w:numPr>
          <w:ilvl w:val="0"/>
          <w:numId w:val="2"/>
        </w:numPr>
        <w:spacing w:before="40" w:after="40"/>
      </w:pPr>
      <w:r>
        <w:rPr>
          <w:rFonts w:ascii="Arial" w:cs="Arial" w:eastAsia="Arial" w:hAnsi="Arial"/>
          <w:color w:val="1A1F2B"/>
          <w:sz w:val="22"/>
          <w:szCs w:val="22"/>
        </w:rPr>
        <w:t xml:space="preserve">First partner-led webinar: Barrel or Netalico presents, you provide case study content</w:t>
      </w:r>
    </w:p>
    <w:p>
      <w:pPr>
        <w:pStyle w:val="ListParagraph"/>
        <w:numPr>
          <w:ilvl w:val="0"/>
          <w:numId w:val="2"/>
        </w:numPr>
        <w:spacing w:before="40" w:after="40"/>
      </w:pPr>
      <w:r>
        <w:rPr>
          <w:rFonts w:ascii="Arial" w:cs="Arial" w:eastAsia="Arial" w:hAnsi="Arial"/>
          <w:color w:val="1A1F2B"/>
          <w:sz w:val="22"/>
          <w:szCs w:val="22"/>
        </w:rPr>
        <w:t xml:space="preserve">Target: 2 partner-sourced deals closed; $80–90K cumulative pipeline</w:t>
      </w:r>
    </w:p>
    <w:p>
      <w:pPr>
        <w:spacing w:before="0" w:after="80"/>
      </w:pPr>
      <w:r>
        <w:rPr>
          <w:rFonts w:ascii="Arial" w:cs="Arial" w:eastAsia="Arial" w:hAnsi="Arial"/>
          <w:color w:val="1A1F2B"/>
          <w:sz w:val="22"/>
          <w:szCs w:val="22"/>
        </w:rPr>
        <w:t xml:space="preserve"/>
      </w:r>
    </w:p>
    <w:p>
      <w:pPr>
        <w:pStyle w:val="Heading2"/>
        <w:spacing w:before="320" w:after="120"/>
      </w:pPr>
      <w:r>
        <w:rPr>
          <w:rFonts w:ascii="Arial" w:cs="Arial" w:eastAsia="Arial" w:hAnsi="Arial"/>
          <w:b/>
          <w:bCs/>
          <w:color w:val="1A1F2B"/>
          <w:sz w:val="28"/>
          <w:szCs w:val="28"/>
        </w:rPr>
        <w:t xml:space="preserve">Q4 (October – December): Close</w:t>
      </w:r>
    </w:p>
    <w:p>
      <w:pPr>
        <w:pStyle w:val="ListParagraph"/>
        <w:numPr>
          <w:ilvl w:val="0"/>
          <w:numId w:val="2"/>
        </w:numPr>
        <w:spacing w:before="40" w:after="40"/>
      </w:pPr>
      <w:r>
        <w:rPr>
          <w:rFonts w:ascii="Arial" w:cs="Arial" w:eastAsia="Arial" w:hAnsi="Arial"/>
          <w:color w:val="1A1F2B"/>
          <w:sz w:val="22"/>
          <w:szCs w:val="22"/>
        </w:rPr>
        <w:t xml:space="preserve">Henry Stewart DAM NYC — sponsor/speak; host consultant dinner October 1</w:t>
      </w:r>
    </w:p>
    <w:p>
      <w:pPr>
        <w:pStyle w:val="ListParagraph"/>
        <w:numPr>
          <w:ilvl w:val="0"/>
          <w:numId w:val="2"/>
        </w:numPr>
        <w:spacing w:before="40" w:after="40"/>
      </w:pPr>
      <w:r>
        <w:rPr>
          <w:rFonts w:ascii="Arial" w:cs="Arial" w:eastAsia="Arial" w:hAnsi="Arial"/>
          <w:color w:val="1A1F2B"/>
          <w:sz w:val="22"/>
          <w:szCs w:val="22"/>
        </w:rPr>
        <w:t xml:space="preserve">Close 2–3 additional partner deals from Q3 pipeline</w:t>
      </w:r>
    </w:p>
    <w:p>
      <w:pPr>
        <w:pStyle w:val="ListParagraph"/>
        <w:numPr>
          <w:ilvl w:val="0"/>
          <w:numId w:val="2"/>
        </w:numPr>
        <w:spacing w:before="40" w:after="40"/>
      </w:pPr>
      <w:r>
        <w:rPr>
          <w:rFonts w:ascii="Arial" w:cs="Arial" w:eastAsia="Arial" w:hAnsi="Arial"/>
          <w:color w:val="1A1F2B"/>
          <w:sz w:val="22"/>
          <w:szCs w:val="22"/>
        </w:rPr>
        <w:t xml:space="preserve">Year-end partner dinner: celebrate wins, lock in 2027 commitments from top 4–6 partners</w:t>
      </w:r>
    </w:p>
    <w:p>
      <w:pPr>
        <w:pStyle w:val="ListParagraph"/>
        <w:numPr>
          <w:ilvl w:val="0"/>
          <w:numId w:val="2"/>
        </w:numPr>
        <w:spacing w:before="40" w:after="40"/>
      </w:pPr>
      <w:r>
        <w:rPr>
          <w:rFonts w:ascii="Arial" w:cs="Arial" w:eastAsia="Arial" w:hAnsi="Arial"/>
          <w:color w:val="1A1F2B"/>
          <w:sz w:val="22"/>
          <w:szCs w:val="22"/>
        </w:rPr>
        <w:t xml:space="preserve">DAM consultant network active: 5+ independent consultants who know Canto and will recommend it</w:t>
      </w:r>
    </w:p>
    <w:p>
      <w:pPr>
        <w:pStyle w:val="ListParagraph"/>
        <w:numPr>
          <w:ilvl w:val="0"/>
          <w:numId w:val="2"/>
        </w:numPr>
        <w:spacing w:before="40" w:after="40"/>
      </w:pPr>
      <w:r>
        <w:rPr>
          <w:rFonts w:ascii="Arial" w:cs="Arial" w:eastAsia="Arial" w:hAnsi="Arial"/>
          <w:color w:val="1A1F2B"/>
          <w:sz w:val="22"/>
          <w:szCs w:val="22"/>
        </w:rPr>
        <w:t xml:space="preserve">Target: $90–110K additional revenue; total $250K+ closed or in late-stage pipeline</w:t>
      </w:r>
    </w:p>
    <w:p>
      <w:pPr>
        <w:spacing w:before="0" w:after="160"/>
      </w:pPr>
      <w:r>
        <w:rPr>
          <w:rFonts w:ascii="Arial" w:cs="Arial" w:eastAsia="Arial" w:hAnsi="Arial"/>
          <w:color w:val="1A1F2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1E" w:sz="8"/>
              <w:left w:val="none" w:color="FFFFFF" w:sz="0"/>
              <w:bottom w:val="none" w:color="FFFFFF" w:sz="0"/>
              <w:right w:val="none" w:color="FFFFFF" w:sz="0"/>
            </w:tcBorders>
            <w:shd w:fill="FFFFFF" w:val="clear"/>
            <w:tcMar>
              <w:top w:type="dxa" w:w="240"/>
              <w:left w:type="dxa" w:w="0"/>
              <w:bottom w:type="dxa" w:w="240"/>
              <w:right w:type="dxa" w:w="0"/>
            </w:tcMar>
          </w:tcPr>
          <w:p>
            <w:pPr>
              <w:spacing w:before="0" w:after="100"/>
            </w:pPr>
            <w:r>
              <w:rPr>
                <w:rFonts w:ascii="Arial" w:cs="Arial" w:eastAsia="Arial" w:hAnsi="Arial"/>
                <w:b/>
                <w:bCs/>
                <w:color w:val="1A1F2B"/>
                <w:sz w:val="28"/>
                <w:szCs w:val="28"/>
              </w:rPr>
              <w:t xml:space="preserve">The simplest version of this plan:</w:t>
            </w:r>
          </w:p>
          <w:p>
            <w:pPr>
              <w:spacing w:before="0" w:after="0"/>
            </w:pPr>
            <w:r>
              <w:rPr>
                <w:rFonts w:ascii="Arial" w:cs="Arial" w:eastAsia="Arial" w:hAnsi="Arial"/>
                <w:color w:val="6B7280"/>
                <w:sz w:val="22"/>
                <w:szCs w:val="22"/>
              </w:rPr>
              <w:t xml:space="preserve">Show up at the events where your ICP already is. Don't exhibit — attend as a partner. Host small, well-curated dinners. Recruit consultants who advise on DAM selection. Build referral habits with 4–5 agencies who stay close to their CPG and fashion clients. Everything else is noise.</w:t>
            </w:r>
          </w:p>
        </w:tc>
      </w:tr>
    </w:tbl>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1E" w:sz="4" w:space="4"/>
      </w:pBdr>
      <w:tabs>
        <w:tab w:val="right" w:pos="9360"/>
      </w:tabs>
      <w:spacing w:before="0" w:after="160"/>
    </w:pPr>
    <w:r>
      <w:rPr>
        <w:rFonts w:ascii="Arial" w:cs="Arial" w:eastAsia="Arial" w:hAnsi="Arial"/>
        <w:color w:val="6B7280"/>
        <w:sz w:val="18"/>
        <w:szCs w:val="18"/>
      </w:rPr>
      <w:t xml:space="preserve">CANTO  ·  Partner Marketing Plan 2026</w:t>
    </w:r>
    <w:r>
      <w:rPr>
        <w:rFonts w:ascii="Arial" w:cs="Arial" w:eastAsia="Arial" w:hAnsi="Arial"/>
      </w:rPr>
      <w:t xml:space="preserve">	</w:t>
    </w:r>
    <w:r>
      <w:rPr>
        <w:rFonts w:ascii="Arial" w:cs="Arial" w:eastAsia="Arial" w:hAnsi="Arial"/>
        <w:b/>
        <w:b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E85D1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F2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71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2026-03-12T19:35:21.251Z</dcterms:created>
  <dcterms:modified xsi:type="dcterms:W3CDTF">2026-03-12T19:35:21.252Z</dcterms:modified>
</cp:coreProperties>
</file>

<file path=docProps/custom.xml><?xml version="1.0" encoding="utf-8"?>
<Properties xmlns="http://schemas.openxmlformats.org/officeDocument/2006/custom-properties" xmlns:vt="http://schemas.openxmlformats.org/officeDocument/2006/docPropsVTypes"/>
</file>