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Отчеты для оценки эффективности отдела логистики (заказчик Coube.kz)</w:t>
      </w:r>
    </w:p>
    <w:p>
      <w:pPr>
        <w:pStyle w:val="Heading2"/>
      </w:pPr>
      <w:r>
        <w:t>1. Отчет по заявкам и выполнению заказов</w:t>
      </w:r>
    </w:p>
    <w:p>
      <w:r>
        <w:t>Цель: Оценить своевременность исполнения логистических задач.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заявок</w:t>
            </w:r>
          </w:p>
        </w:tc>
        <w:tc>
          <w:tcPr>
            <w:tcW w:type="dxa" w:w="4320"/>
          </w:tcPr>
          <w:p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Выполнено в срок</w:t>
            </w:r>
          </w:p>
        </w:tc>
        <w:tc>
          <w:tcPr>
            <w:tcW w:type="dxa" w:w="4320"/>
          </w:tcPr>
          <w:p>
            <w:r>
              <w:t>289 (83.8%)</w:t>
            </w:r>
          </w:p>
        </w:tc>
      </w:tr>
      <w:tr>
        <w:tc>
          <w:tcPr>
            <w:tcW w:type="dxa" w:w="4320"/>
          </w:tcPr>
          <w:p>
            <w:r>
              <w:t>Просрочено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Среднее время исполнения</w:t>
            </w:r>
          </w:p>
        </w:tc>
        <w:tc>
          <w:tcPr>
            <w:tcW w:type="dxa" w:w="4320"/>
          </w:tcPr>
          <w:p>
            <w:r>
              <w:t>7 ч 30 мин</w:t>
            </w:r>
          </w:p>
        </w:tc>
      </w:tr>
      <w:tr>
        <w:tc>
          <w:tcPr>
            <w:tcW w:type="dxa" w:w="4320"/>
          </w:tcPr>
          <w:p>
            <w:r>
              <w:t>Доля отмененных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</w:tbl>
    <w:p>
      <w:pPr>
        <w:pStyle w:val="Heading2"/>
      </w:pPr>
      <w:r>
        <w:t>2. Отчет по перевозчикам</w:t>
      </w:r>
    </w:p>
    <w:p>
      <w:r>
        <w:t>Цель: Сравнить эффективность и надежность подрядчиков.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Перевозчик</w:t>
            </w:r>
          </w:p>
        </w:tc>
        <w:tc>
          <w:tcPr>
            <w:tcW w:type="dxa" w:w="1728"/>
          </w:tcPr>
          <w:p>
            <w:r>
              <w:t>Выполнено заявок</w:t>
            </w:r>
          </w:p>
        </w:tc>
        <w:tc>
          <w:tcPr>
            <w:tcW w:type="dxa" w:w="1728"/>
          </w:tcPr>
          <w:p>
            <w:r>
              <w:t>Ср. время в пути</w:t>
            </w:r>
          </w:p>
        </w:tc>
        <w:tc>
          <w:tcPr>
            <w:tcW w:type="dxa" w:w="1728"/>
          </w:tcPr>
          <w:p>
            <w:r>
              <w:t>Нарушения SLA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</w:tr>
      <w:tr>
        <w:tc>
          <w:tcPr>
            <w:tcW w:type="dxa" w:w="1728"/>
          </w:tcPr>
          <w:p>
            <w:r>
              <w:t>ТОО 'Логистик+'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6 ч 40 мин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4.7 / 5</w:t>
            </w:r>
          </w:p>
        </w:tc>
      </w:tr>
      <w:tr>
        <w:tc>
          <w:tcPr>
            <w:tcW w:type="dxa" w:w="1728"/>
          </w:tcPr>
          <w:p>
            <w:r>
              <w:t>ИП 'Транс-Сервис'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7 ч 20 мин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4.2 / 5</w:t>
            </w:r>
          </w:p>
        </w:tc>
      </w:tr>
    </w:tbl>
    <w:p>
      <w:pPr>
        <w:pStyle w:val="Heading2"/>
      </w:pPr>
      <w:r>
        <w:t>3. Отчет по затратам на логистику</w:t>
      </w:r>
    </w:p>
    <w:p>
      <w:r>
        <w:t>Цель: Контролировать расходы на транспортные услуги.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Период</w:t>
            </w:r>
          </w:p>
        </w:tc>
        <w:tc>
          <w:tcPr>
            <w:tcW w:type="dxa" w:w="1728"/>
          </w:tcPr>
          <w:p>
            <w:r>
              <w:t>Кол-во рейсов</w:t>
            </w:r>
          </w:p>
        </w:tc>
        <w:tc>
          <w:tcPr>
            <w:tcW w:type="dxa" w:w="1728"/>
          </w:tcPr>
          <w:p>
            <w:r>
              <w:t>Общие затраты (₸)</w:t>
            </w:r>
          </w:p>
        </w:tc>
        <w:tc>
          <w:tcPr>
            <w:tcW w:type="dxa" w:w="1728"/>
          </w:tcPr>
          <w:p>
            <w:r>
              <w:t>Средняя цена за рейс</w:t>
            </w:r>
          </w:p>
        </w:tc>
        <w:tc>
          <w:tcPr>
            <w:tcW w:type="dxa" w:w="1728"/>
          </w:tcPr>
          <w:p>
            <w:r>
              <w:t>Стоимость за 1 т</w:t>
            </w:r>
          </w:p>
        </w:tc>
      </w:tr>
      <w:tr>
        <w:tc>
          <w:tcPr>
            <w:tcW w:type="dxa" w:w="1728"/>
          </w:tcPr>
          <w:p>
            <w:r>
              <w:t>Май 2025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62,300,000</w:t>
            </w:r>
          </w:p>
        </w:tc>
        <w:tc>
          <w:tcPr>
            <w:tcW w:type="dxa" w:w="1728"/>
          </w:tcPr>
          <w:p>
            <w:r>
              <w:t>197,460</w:t>
            </w:r>
          </w:p>
        </w:tc>
        <w:tc>
          <w:tcPr>
            <w:tcW w:type="dxa" w:w="1728"/>
          </w:tcPr>
          <w:p>
            <w:r>
              <w:t>8,500</w:t>
            </w:r>
          </w:p>
        </w:tc>
      </w:tr>
    </w:tbl>
    <w:p>
      <w:pPr>
        <w:pStyle w:val="Heading2"/>
      </w:pPr>
      <w:r>
        <w:t>4. Отчет по геозонам и нарушениям</w:t>
      </w:r>
    </w:p>
    <w:p>
      <w:r>
        <w:t>Цель: Анализировать фактические отклонения по времени.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Геозона</w:t>
            </w:r>
          </w:p>
        </w:tc>
        <w:tc>
          <w:tcPr>
            <w:tcW w:type="dxa" w:w="1728"/>
          </w:tcPr>
          <w:p>
            <w:r>
              <w:t>План прибытия</w:t>
            </w:r>
          </w:p>
        </w:tc>
        <w:tc>
          <w:tcPr>
            <w:tcW w:type="dxa" w:w="1728"/>
          </w:tcPr>
          <w:p>
            <w:r>
              <w:t>Факт прибытия</w:t>
            </w:r>
          </w:p>
        </w:tc>
        <w:tc>
          <w:tcPr>
            <w:tcW w:type="dxa" w:w="1728"/>
          </w:tcPr>
          <w:p>
            <w:r>
              <w:t>Отклонение (мин)</w:t>
            </w:r>
          </w:p>
        </w:tc>
        <w:tc>
          <w:tcPr>
            <w:tcW w:type="dxa" w:w="1728"/>
          </w:tcPr>
          <w:p>
            <w:r>
              <w:t>Простой (мин)</w:t>
            </w:r>
          </w:p>
        </w:tc>
      </w:tr>
      <w:tr>
        <w:tc>
          <w:tcPr>
            <w:tcW w:type="dxa" w:w="1728"/>
          </w:tcPr>
          <w:p>
            <w:r>
              <w:t>Склад Алматы</w:t>
            </w:r>
          </w:p>
        </w:tc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10:34</w:t>
            </w:r>
          </w:p>
        </w:tc>
        <w:tc>
          <w:tcPr>
            <w:tcW w:type="dxa" w:w="1728"/>
          </w:tcPr>
          <w:p>
            <w:r>
              <w:t>+34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База Нур-Султан</w:t>
            </w:r>
          </w:p>
        </w:tc>
        <w:tc>
          <w:tcPr>
            <w:tcW w:type="dxa" w:w="1728"/>
          </w:tcPr>
          <w:p>
            <w:r>
              <w:t>16:00</w:t>
            </w:r>
          </w:p>
        </w:tc>
        <w:tc>
          <w:tcPr>
            <w:tcW w:type="dxa" w:w="1728"/>
          </w:tcPr>
          <w:p>
            <w:r>
              <w:t>15:45</w:t>
            </w:r>
          </w:p>
        </w:tc>
        <w:tc>
          <w:tcPr>
            <w:tcW w:type="dxa" w:w="1728"/>
          </w:tcPr>
          <w:p>
            <w:r>
              <w:t>-15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</w:tbl>
    <w:p>
      <w:pPr>
        <w:pStyle w:val="Heading2"/>
      </w:pPr>
      <w:r>
        <w:t>5. Отчет по KPI отдела логистики</w:t>
      </w:r>
    </w:p>
    <w:p>
      <w:r>
        <w:t>Цель: Оценить внутреннюю эффективность логистики.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Ср. время подтверждения заявки</w:t>
            </w:r>
          </w:p>
        </w:tc>
        <w:tc>
          <w:tcPr>
            <w:tcW w:type="dxa" w:w="4320"/>
          </w:tcPr>
          <w:p>
            <w:r>
              <w:t>28 мин</w:t>
            </w:r>
          </w:p>
        </w:tc>
      </w:tr>
      <w:tr>
        <w:tc>
          <w:tcPr>
            <w:tcW w:type="dxa" w:w="4320"/>
          </w:tcPr>
          <w:p>
            <w:r>
              <w:t>Доля автоматических заявок</w:t>
            </w:r>
          </w:p>
        </w:tc>
        <w:tc>
          <w:tcPr>
            <w:tcW w:type="dxa" w:w="4320"/>
          </w:tcPr>
          <w:p>
            <w:r>
              <w:t>76%</w:t>
            </w:r>
          </w:p>
        </w:tc>
      </w:tr>
      <w:tr>
        <w:tc>
          <w:tcPr>
            <w:tcW w:type="dxa" w:w="4320"/>
          </w:tcPr>
          <w:p>
            <w:r>
              <w:t>Время на подбор перевозчика</w:t>
            </w:r>
          </w:p>
        </w:tc>
        <w:tc>
          <w:tcPr>
            <w:tcW w:type="dxa" w:w="4320"/>
          </w:tcPr>
          <w:p>
            <w:r>
              <w:t>1 ч 10 мин</w:t>
            </w:r>
          </w:p>
        </w:tc>
      </w:tr>
      <w:tr>
        <w:tc>
          <w:tcPr>
            <w:tcW w:type="dxa" w:w="4320"/>
          </w:tcPr>
          <w:p>
            <w:r>
              <w:t>Удовлетворенность</w:t>
            </w:r>
          </w:p>
        </w:tc>
        <w:tc>
          <w:tcPr>
            <w:tcW w:type="dxa" w:w="4320"/>
          </w:tcPr>
          <w:p>
            <w:r>
              <w:t>4.5 / 5</w:t>
            </w:r>
          </w:p>
        </w:tc>
      </w:tr>
    </w:tbl>
    <w:p>
      <w:pPr>
        <w:pStyle w:val="Heading2"/>
      </w:pPr>
      <w:r>
        <w:t>6. Инциденты и отклонения</w:t>
      </w:r>
    </w:p>
    <w:p>
      <w:r>
        <w:t>Цель: Контроль проблем и управления их устранением.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Инцидент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1728"/>
          </w:tcPr>
          <w:p>
            <w:r>
              <w:t>Описание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  <w:tc>
          <w:tcPr>
            <w:tcW w:type="dxa" w:w="1728"/>
          </w:tcPr>
          <w:p>
            <w: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t>Просрочка 12 ч</w:t>
            </w:r>
          </w:p>
        </w:tc>
        <w:tc>
          <w:tcPr>
            <w:tcW w:type="dxa" w:w="1728"/>
          </w:tcPr>
          <w:p>
            <w:r>
              <w:t>01.06.25</w:t>
            </w:r>
          </w:p>
        </w:tc>
        <w:tc>
          <w:tcPr>
            <w:tcW w:type="dxa" w:w="1728"/>
          </w:tcPr>
          <w:p>
            <w:r>
              <w:t>Не вышел на маршрут</w:t>
            </w:r>
          </w:p>
        </w:tc>
        <w:tc>
          <w:tcPr>
            <w:tcW w:type="dxa" w:w="1728"/>
          </w:tcPr>
          <w:p>
            <w:r>
              <w:t>Закрыт</w:t>
            </w:r>
          </w:p>
        </w:tc>
        <w:tc>
          <w:tcPr>
            <w:tcW w:type="dxa" w:w="1728"/>
          </w:tcPr>
          <w:p>
            <w:r>
              <w:t>Логист Иванов</w:t>
            </w:r>
          </w:p>
        </w:tc>
      </w:tr>
    </w:tbl>
    <w:p>
      <w:pPr>
        <w:pStyle w:val="Heading2"/>
      </w:pPr>
      <w:r>
        <w:t>7. График загрузки и утилизации перевозок</w:t>
      </w:r>
    </w:p>
    <w:p>
      <w:r>
        <w:t>Цель: Анализ загруженности транспортных средств.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Кол-во рейсов</w:t>
            </w:r>
          </w:p>
        </w:tc>
        <w:tc>
          <w:tcPr>
            <w:tcW w:type="dxa" w:w="2160"/>
          </w:tcPr>
          <w:p>
            <w:r>
              <w:t>Средняя загрузка (%)</w:t>
            </w:r>
          </w:p>
        </w:tc>
        <w:tc>
          <w:tcPr>
            <w:tcW w:type="dxa" w:w="2160"/>
          </w:tcPr>
          <w:p>
            <w:r>
              <w:t>Пиковые нагрузки</w:t>
            </w:r>
          </w:p>
        </w:tc>
      </w:tr>
      <w:tr>
        <w:tc>
          <w:tcPr>
            <w:tcW w:type="dxa" w:w="2160"/>
          </w:tcPr>
          <w:p>
            <w:r>
              <w:t>10.05.2025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16:00–19:00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