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Отчеты перевозчика для оценки эффективности диспетчеров и водителей (платформа Coube.kz)</w:t>
      </w:r>
    </w:p>
    <w:p>
      <w:pPr>
        <w:pStyle w:val="Heading2"/>
      </w:pPr>
      <w:r>
        <w:t>1. Отчет по обработке заявок диспетчерами</w:t>
      </w:r>
    </w:p>
    <w:p>
      <w:r>
        <w:t>Цель: Оценить скорость и точность работы диспетчерской службы.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Среднее время отклика на заявку</w:t>
            </w:r>
          </w:p>
        </w:tc>
        <w:tc>
          <w:tcPr>
            <w:tcW w:type="dxa" w:w="4320"/>
          </w:tcPr>
          <w:p>
            <w:r>
              <w:t>12 мин</w:t>
            </w:r>
          </w:p>
        </w:tc>
      </w:tr>
      <w:tr>
        <w:tc>
          <w:tcPr>
            <w:tcW w:type="dxa" w:w="4320"/>
          </w:tcPr>
          <w:p>
            <w:r>
              <w:t>Кол-во принятых заявок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Кол-во отклоненных заявок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Кол-во ошибочно распределенных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Доля автопринятых заявок</w:t>
            </w:r>
          </w:p>
        </w:tc>
        <w:tc>
          <w:tcPr>
            <w:tcW w:type="dxa" w:w="4320"/>
          </w:tcPr>
          <w:p>
            <w:r>
              <w:t>62%</w:t>
            </w:r>
          </w:p>
        </w:tc>
      </w:tr>
    </w:tbl>
    <w:p>
      <w:pPr>
        <w:pStyle w:val="Heading2"/>
      </w:pPr>
      <w:r>
        <w:t>2. Отчет по эффективности водителей</w:t>
      </w:r>
    </w:p>
    <w:p>
      <w:r>
        <w:t>Цель: Контроль исполнения маршрутов, графика и качества сервиса.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Водитель</w:t>
            </w:r>
          </w:p>
        </w:tc>
        <w:tc>
          <w:tcPr>
            <w:tcW w:type="dxa" w:w="1440"/>
          </w:tcPr>
          <w:p>
            <w:r>
              <w:t>Рейсы</w:t>
            </w:r>
          </w:p>
        </w:tc>
        <w:tc>
          <w:tcPr>
            <w:tcW w:type="dxa" w:w="1440"/>
          </w:tcPr>
          <w:p>
            <w:r>
              <w:t>Выполнено вовремя</w:t>
            </w:r>
          </w:p>
        </w:tc>
        <w:tc>
          <w:tcPr>
            <w:tcW w:type="dxa" w:w="1440"/>
          </w:tcPr>
          <w:p>
            <w:r>
              <w:t>Нарушения</w:t>
            </w:r>
          </w:p>
        </w:tc>
        <w:tc>
          <w:tcPr>
            <w:tcW w:type="dxa" w:w="1440"/>
          </w:tcPr>
          <w:p>
            <w:r>
              <w:t>Ср. отклонение</w:t>
            </w:r>
          </w:p>
        </w:tc>
        <w:tc>
          <w:tcPr>
            <w:tcW w:type="dxa" w:w="1440"/>
          </w:tcPr>
          <w:p>
            <w:r>
              <w:t>Оценка клиента</w:t>
            </w:r>
          </w:p>
        </w:tc>
      </w:tr>
      <w:tr>
        <w:tc>
          <w:tcPr>
            <w:tcW w:type="dxa" w:w="1440"/>
          </w:tcPr>
          <w:p>
            <w:r>
              <w:t>Иванов А.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+6 мин</w:t>
            </w:r>
          </w:p>
        </w:tc>
        <w:tc>
          <w:tcPr>
            <w:tcW w:type="dxa" w:w="1440"/>
          </w:tcPr>
          <w:p>
            <w:r>
              <w:t>4.8 / 5</w:t>
            </w:r>
          </w:p>
        </w:tc>
      </w:tr>
      <w:tr>
        <w:tc>
          <w:tcPr>
            <w:tcW w:type="dxa" w:w="1440"/>
          </w:tcPr>
          <w:p>
            <w:r>
              <w:t>Садыков Н.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+21 мин</w:t>
            </w:r>
          </w:p>
        </w:tc>
        <w:tc>
          <w:tcPr>
            <w:tcW w:type="dxa" w:w="1440"/>
          </w:tcPr>
          <w:p>
            <w:r>
              <w:t>4.2 / 5</w:t>
            </w:r>
          </w:p>
        </w:tc>
      </w:tr>
    </w:tbl>
    <w:p>
      <w:pPr>
        <w:pStyle w:val="Heading2"/>
      </w:pPr>
      <w:r>
        <w:t>3. Отчет по геозонам и пунктуальности</w:t>
      </w:r>
    </w:p>
    <w:p>
      <w:r>
        <w:t>Цель: Оценить соблюдение графика прибытия и убытия на ключевые точки маршрутов.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Геозона</w:t>
            </w:r>
          </w:p>
        </w:tc>
        <w:tc>
          <w:tcPr>
            <w:tcW w:type="dxa" w:w="1440"/>
          </w:tcPr>
          <w:p>
            <w:r>
              <w:t>Водитель</w:t>
            </w:r>
          </w:p>
        </w:tc>
        <w:tc>
          <w:tcPr>
            <w:tcW w:type="dxa" w:w="1440"/>
          </w:tcPr>
          <w:p>
            <w:r>
              <w:t>План прибытия</w:t>
            </w:r>
          </w:p>
        </w:tc>
        <w:tc>
          <w:tcPr>
            <w:tcW w:type="dxa" w:w="1440"/>
          </w:tcPr>
          <w:p>
            <w:r>
              <w:t>Факт прибытия</w:t>
            </w:r>
          </w:p>
        </w:tc>
        <w:tc>
          <w:tcPr>
            <w:tcW w:type="dxa" w:w="1440"/>
          </w:tcPr>
          <w:p>
            <w:r>
              <w:t>Отклонение</w:t>
            </w:r>
          </w:p>
        </w:tc>
        <w:tc>
          <w:tcPr>
            <w:tcW w:type="dxa" w:w="1440"/>
          </w:tcPr>
          <w:p>
            <w:r>
              <w:t>Время на точке</w:t>
            </w:r>
          </w:p>
        </w:tc>
      </w:tr>
      <w:tr>
        <w:tc>
          <w:tcPr>
            <w:tcW w:type="dxa" w:w="1440"/>
          </w:tcPr>
          <w:p>
            <w:r>
              <w:t>Алматы склад</w:t>
            </w:r>
          </w:p>
        </w:tc>
        <w:tc>
          <w:tcPr>
            <w:tcW w:type="dxa" w:w="1440"/>
          </w:tcPr>
          <w:p>
            <w:r>
              <w:t>Иванов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08:09</w:t>
            </w:r>
          </w:p>
        </w:tc>
        <w:tc>
          <w:tcPr>
            <w:tcW w:type="dxa" w:w="1440"/>
          </w:tcPr>
          <w:p>
            <w:r>
              <w:t>+9 мин</w:t>
            </w:r>
          </w:p>
        </w:tc>
        <w:tc>
          <w:tcPr>
            <w:tcW w:type="dxa" w:w="1440"/>
          </w:tcPr>
          <w:p>
            <w:r>
              <w:t>42 мин</w:t>
            </w:r>
          </w:p>
        </w:tc>
      </w:tr>
      <w:tr>
        <w:tc>
          <w:tcPr>
            <w:tcW w:type="dxa" w:w="1440"/>
          </w:tcPr>
          <w:p>
            <w:r>
              <w:t>Актобе база</w:t>
            </w:r>
          </w:p>
        </w:tc>
        <w:tc>
          <w:tcPr>
            <w:tcW w:type="dxa" w:w="1440"/>
          </w:tcPr>
          <w:p>
            <w:r>
              <w:t>Садыков</w:t>
            </w:r>
          </w:p>
        </w:tc>
        <w:tc>
          <w:tcPr>
            <w:tcW w:type="dxa" w:w="1440"/>
          </w:tcPr>
          <w:p>
            <w:r>
              <w:t>14:30</w:t>
            </w:r>
          </w:p>
        </w:tc>
        <w:tc>
          <w:tcPr>
            <w:tcW w:type="dxa" w:w="1440"/>
          </w:tcPr>
          <w:p>
            <w:r>
              <w:t>14:50</w:t>
            </w:r>
          </w:p>
        </w:tc>
        <w:tc>
          <w:tcPr>
            <w:tcW w:type="dxa" w:w="1440"/>
          </w:tcPr>
          <w:p>
            <w:r>
              <w:t>+20 мин</w:t>
            </w:r>
          </w:p>
        </w:tc>
        <w:tc>
          <w:tcPr>
            <w:tcW w:type="dxa" w:w="1440"/>
          </w:tcPr>
          <w:p>
            <w:r>
              <w:t>35 мин</w:t>
            </w:r>
          </w:p>
        </w:tc>
      </w:tr>
    </w:tbl>
    <w:p>
      <w:pPr>
        <w:pStyle w:val="Heading2"/>
      </w:pPr>
      <w:r>
        <w:t>4. Отчет по выполненным рейсам</w:t>
      </w:r>
    </w:p>
    <w:p>
      <w:r>
        <w:t>Цель: Анализ производительности автопарка и загрузки водителей.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Рейс №</w:t>
            </w:r>
          </w:p>
        </w:tc>
        <w:tc>
          <w:tcPr>
            <w:tcW w:type="dxa" w:w="1080"/>
          </w:tcPr>
          <w:p>
            <w:r>
              <w:t>Водитель</w:t>
            </w:r>
          </w:p>
        </w:tc>
        <w:tc>
          <w:tcPr>
            <w:tcW w:type="dxa" w:w="1080"/>
          </w:tcPr>
          <w:p>
            <w:r>
              <w:t>Маршрут</w:t>
            </w:r>
          </w:p>
        </w:tc>
        <w:tc>
          <w:tcPr>
            <w:tcW w:type="dxa" w:w="1080"/>
          </w:tcPr>
          <w:p>
            <w:r>
              <w:t>Расстояние (км)</w:t>
            </w:r>
          </w:p>
        </w:tc>
        <w:tc>
          <w:tcPr>
            <w:tcW w:type="dxa" w:w="1080"/>
          </w:tcPr>
          <w:p>
            <w:r>
              <w:t>Вес (т)</w:t>
            </w:r>
          </w:p>
        </w:tc>
        <w:tc>
          <w:tcPr>
            <w:tcW w:type="dxa" w:w="1080"/>
          </w:tcPr>
          <w:p>
            <w:r>
              <w:t>Доход (₸)</w:t>
            </w:r>
          </w:p>
        </w:tc>
        <w:tc>
          <w:tcPr>
            <w:tcW w:type="dxa" w:w="1080"/>
          </w:tcPr>
          <w:p>
            <w:r>
              <w:t>Себестоимость (₸)</w:t>
            </w:r>
          </w:p>
        </w:tc>
        <w:tc>
          <w:tcPr>
            <w:tcW w:type="dxa" w:w="1080"/>
          </w:tcPr>
          <w:p>
            <w:r>
              <w:t>Прибыль (₸)</w:t>
            </w:r>
          </w:p>
        </w:tc>
      </w:tr>
      <w:tr>
        <w:tc>
          <w:tcPr>
            <w:tcW w:type="dxa" w:w="1080"/>
          </w:tcPr>
          <w:p>
            <w:r>
              <w:t>R-203</w:t>
            </w:r>
          </w:p>
        </w:tc>
        <w:tc>
          <w:tcPr>
            <w:tcW w:type="dxa" w:w="1080"/>
          </w:tcPr>
          <w:p>
            <w:r>
              <w:t>Иванов</w:t>
            </w:r>
          </w:p>
        </w:tc>
        <w:tc>
          <w:tcPr>
            <w:tcW w:type="dxa" w:w="1080"/>
          </w:tcPr>
          <w:p>
            <w:r>
              <w:t>Алматы – Шымкент</w:t>
            </w:r>
          </w:p>
        </w:tc>
        <w:tc>
          <w:tcPr>
            <w:tcW w:type="dxa" w:w="1080"/>
          </w:tcPr>
          <w:p>
            <w:r>
              <w:t>820</w:t>
            </w:r>
          </w:p>
        </w:tc>
        <w:tc>
          <w:tcPr>
            <w:tcW w:type="dxa" w:w="1080"/>
          </w:tcPr>
          <w:p>
            <w:r>
              <w:t>8.5</w:t>
            </w:r>
          </w:p>
        </w:tc>
        <w:tc>
          <w:tcPr>
            <w:tcW w:type="dxa" w:w="1080"/>
          </w:tcPr>
          <w:p>
            <w:r>
              <w:t>220,000</w:t>
            </w:r>
          </w:p>
        </w:tc>
        <w:tc>
          <w:tcPr>
            <w:tcW w:type="dxa" w:w="1080"/>
          </w:tcPr>
          <w:p>
            <w:r>
              <w:t>150,000</w:t>
            </w:r>
          </w:p>
        </w:tc>
        <w:tc>
          <w:tcPr>
            <w:tcW w:type="dxa" w:w="1080"/>
          </w:tcPr>
          <w:p>
            <w:r>
              <w:t>70,000</w:t>
            </w:r>
          </w:p>
        </w:tc>
      </w:tr>
    </w:tbl>
    <w:p>
      <w:pPr>
        <w:pStyle w:val="Heading2"/>
      </w:pPr>
      <w:r>
        <w:t>5. Отчет по взаимодействию с заказчиками</w:t>
      </w:r>
    </w:p>
    <w:p>
      <w:r>
        <w:t>Цель: Мониторинг уровня сервиса и работы с клиентами.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Заказчик</w:t>
            </w:r>
          </w:p>
        </w:tc>
        <w:tc>
          <w:tcPr>
            <w:tcW w:type="dxa" w:w="1728"/>
          </w:tcPr>
          <w:p>
            <w:r>
              <w:t>Кол-во заявок</w:t>
            </w:r>
          </w:p>
        </w:tc>
        <w:tc>
          <w:tcPr>
            <w:tcW w:type="dxa" w:w="1728"/>
          </w:tcPr>
          <w:p>
            <w:r>
              <w:t>Ср. оценка</w:t>
            </w:r>
          </w:p>
        </w:tc>
        <w:tc>
          <w:tcPr>
            <w:tcW w:type="dxa" w:w="1728"/>
          </w:tcPr>
          <w:p>
            <w:r>
              <w:t>Жалобы</w:t>
            </w:r>
          </w:p>
        </w:tc>
        <w:tc>
          <w:tcPr>
            <w:tcW w:type="dxa" w:w="1728"/>
          </w:tcPr>
          <w:p>
            <w:r>
              <w:t>Повторные заказы</w:t>
            </w:r>
          </w:p>
        </w:tc>
      </w:tr>
      <w:tr>
        <w:tc>
          <w:tcPr>
            <w:tcW w:type="dxa" w:w="1728"/>
          </w:tcPr>
          <w:p>
            <w:r>
              <w:t>ТОО «KazLog»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4.6 / 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ИП «AsiaTrans»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4.9 / 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p>
      <w:pPr>
        <w:pStyle w:val="Heading2"/>
      </w:pPr>
      <w:r>
        <w:t>6. Отчет по техническим отклонениям и простоям</w:t>
      </w:r>
    </w:p>
    <w:p>
      <w:r>
        <w:t>Цель: Выявление простоев и технических проблем в процессе перевозки.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Водитель</w:t>
            </w:r>
          </w:p>
        </w:tc>
        <w:tc>
          <w:tcPr>
            <w:tcW w:type="dxa" w:w="1728"/>
          </w:tcPr>
          <w:p>
            <w:r>
              <w:t>ТС</w:t>
            </w:r>
          </w:p>
        </w:tc>
        <w:tc>
          <w:tcPr>
            <w:tcW w:type="dxa" w:w="1728"/>
          </w:tcPr>
          <w:p>
            <w:r>
              <w:t>Причина простоя</w:t>
            </w:r>
          </w:p>
        </w:tc>
        <w:tc>
          <w:tcPr>
            <w:tcW w:type="dxa" w:w="1728"/>
          </w:tcPr>
          <w:p>
            <w:r>
              <w:t>Время простоя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Иванов</w:t>
            </w:r>
          </w:p>
        </w:tc>
        <w:tc>
          <w:tcPr>
            <w:tcW w:type="dxa" w:w="1728"/>
          </w:tcPr>
          <w:p>
            <w:r>
              <w:t>ТС-01</w:t>
            </w:r>
          </w:p>
        </w:tc>
        <w:tc>
          <w:tcPr>
            <w:tcW w:type="dxa" w:w="1728"/>
          </w:tcPr>
          <w:p>
            <w:r>
              <w:t>Замена колеса</w:t>
            </w:r>
          </w:p>
        </w:tc>
        <w:tc>
          <w:tcPr>
            <w:tcW w:type="dxa" w:w="1728"/>
          </w:tcPr>
          <w:p>
            <w:r>
              <w:t>1 ч 15 мин</w:t>
            </w:r>
          </w:p>
        </w:tc>
        <w:tc>
          <w:tcPr>
            <w:tcW w:type="dxa" w:w="1728"/>
          </w:tcPr>
          <w:p>
            <w:r>
              <w:t>Устранено в пути</w:t>
            </w:r>
          </w:p>
        </w:tc>
      </w:tr>
      <w:tr>
        <w:tc>
          <w:tcPr>
            <w:tcW w:type="dxa" w:w="1728"/>
          </w:tcPr>
          <w:p>
            <w:r>
              <w:t>Садыков</w:t>
            </w:r>
          </w:p>
        </w:tc>
        <w:tc>
          <w:tcPr>
            <w:tcW w:type="dxa" w:w="1728"/>
          </w:tcPr>
          <w:p>
            <w:r>
              <w:t>ТС-03</w:t>
            </w:r>
          </w:p>
        </w:tc>
        <w:tc>
          <w:tcPr>
            <w:tcW w:type="dxa" w:w="1728"/>
          </w:tcPr>
          <w:p>
            <w:r>
              <w:t>Ожидание разгрузки</w:t>
            </w:r>
          </w:p>
        </w:tc>
        <w:tc>
          <w:tcPr>
            <w:tcW w:type="dxa" w:w="1728"/>
          </w:tcPr>
          <w:p>
            <w:r>
              <w:t>2 ч 30 мин</w:t>
            </w:r>
          </w:p>
        </w:tc>
        <w:tc>
          <w:tcPr>
            <w:tcW w:type="dxa" w:w="1728"/>
          </w:tcPr>
          <w:p>
            <w:r>
              <w:t>Вина заказчика</w:t>
            </w:r>
          </w:p>
        </w:tc>
      </w:tr>
    </w:tbl>
    <w:p>
      <w:pPr>
        <w:pStyle w:val="Heading2"/>
      </w:pPr>
      <w:r>
        <w:t>7. KPI отчет по диспетчерам</w:t>
      </w:r>
    </w:p>
    <w:p>
      <w:r>
        <w:t>Цель: Оценка организационных показателей внутри команды.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Диспетчер</w:t>
            </w:r>
          </w:p>
        </w:tc>
        <w:tc>
          <w:tcPr>
            <w:tcW w:type="dxa" w:w="1728"/>
          </w:tcPr>
          <w:p>
            <w:r>
              <w:t>Заявок обработано</w:t>
            </w:r>
          </w:p>
        </w:tc>
        <w:tc>
          <w:tcPr>
            <w:tcW w:type="dxa" w:w="1728"/>
          </w:tcPr>
          <w:p>
            <w:r>
              <w:t>Ошибок</w:t>
            </w:r>
          </w:p>
        </w:tc>
        <w:tc>
          <w:tcPr>
            <w:tcW w:type="dxa" w:w="1728"/>
          </w:tcPr>
          <w:p>
            <w:r>
              <w:t>Скорость реакции</w:t>
            </w:r>
          </w:p>
        </w:tc>
        <w:tc>
          <w:tcPr>
            <w:tcW w:type="dxa" w:w="1728"/>
          </w:tcPr>
          <w:p>
            <w:r>
              <w:t>Уровень доверия</w:t>
            </w:r>
          </w:p>
        </w:tc>
      </w:tr>
      <w:tr>
        <w:tc>
          <w:tcPr>
            <w:tcW w:type="dxa" w:w="1728"/>
          </w:tcPr>
          <w:p>
            <w:r>
              <w:t>Ахметова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 мин</w:t>
            </w:r>
          </w:p>
        </w:tc>
        <w:tc>
          <w:tcPr>
            <w:tcW w:type="dxa" w:w="1728"/>
          </w:tcPr>
          <w:p>
            <w:r>
              <w:t>4.7 / 5</w:t>
            </w:r>
          </w:p>
        </w:tc>
      </w:tr>
      <w:tr>
        <w:tc>
          <w:tcPr>
            <w:tcW w:type="dxa" w:w="1728"/>
          </w:tcPr>
          <w:p>
            <w:r>
              <w:t>Жумабеков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 мин</w:t>
            </w:r>
          </w:p>
        </w:tc>
        <w:tc>
          <w:tcPr>
            <w:tcW w:type="dxa" w:w="1728"/>
          </w:tcPr>
          <w:p>
            <w:r>
              <w:t>4.4 /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